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  <w:bookmarkStart w:id="0" w:name="_GoBack"/>
            <w:bookmarkEnd w:id="0"/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0CBB53C6" w:rsidR="007B0691" w:rsidRDefault="007B0691" w:rsidP="00E30FF4">
            <w:pPr>
              <w:pStyle w:val="af9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5B36F9" w:rsidRPr="00D4141C">
              <w:rPr>
                <w:rFonts w:hint="eastAsia"/>
              </w:rPr>
              <w:t>令和７年度鴻池新田駅前交通広場周辺における整備計画作成業務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6FEB7494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土木部　</w:t>
            </w:r>
            <w:r w:rsidR="005B36F9">
              <w:rPr>
                <w:rFonts w:ascii="Century" w:hAnsi="Century" w:hint="eastAsia"/>
              </w:rPr>
              <w:t>道路整備</w:t>
            </w:r>
            <w:r w:rsidR="0062371C" w:rsidRPr="0062371C">
              <w:rPr>
                <w:rFonts w:ascii="Century" w:hAnsi="Century" w:hint="eastAsia"/>
              </w:rPr>
              <w:t>室</w:t>
            </w:r>
            <w:r w:rsidR="0062371C">
              <w:rPr>
                <w:rFonts w:ascii="Century" w:hAnsi="Century" w:hint="eastAsia"/>
              </w:rPr>
              <w:t xml:space="preserve">　</w:t>
            </w:r>
            <w:r w:rsidR="005B36F9">
              <w:rPr>
                <w:rFonts w:ascii="Century" w:hAnsi="Century" w:hint="eastAsia"/>
              </w:rPr>
              <w:t>街路整備</w:t>
            </w:r>
            <w:r w:rsidR="0062371C" w:rsidRPr="0062371C">
              <w:rPr>
                <w:rFonts w:ascii="Century" w:hAnsi="Century" w:hint="eastAsia"/>
              </w:rPr>
              <w:t>課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34BD6625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5B36F9">
              <w:rPr>
                <w:rFonts w:hint="eastAsia"/>
              </w:rPr>
              <w:t>３２１７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0E5CD3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535520"/>
    <w:rsid w:val="00550BFF"/>
    <w:rsid w:val="005563E4"/>
    <w:rsid w:val="005713F2"/>
    <w:rsid w:val="005B36F9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7E74A0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44592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15</cp:revision>
  <cp:lastPrinted>2022-08-09T11:03:00Z</cp:lastPrinted>
  <dcterms:created xsi:type="dcterms:W3CDTF">2022-07-27T01:42:00Z</dcterms:created>
  <dcterms:modified xsi:type="dcterms:W3CDTF">2025-05-28T05:51:00Z</dcterms:modified>
</cp:coreProperties>
</file>