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6C" w:rsidRPr="000F386C" w:rsidRDefault="003B2B6C" w:rsidP="003B2B6C">
      <w:pPr>
        <w:jc w:val="left"/>
        <w:rPr>
          <w:rFonts w:ascii="ＭＳ ゴシック" w:eastAsia="ＭＳ ゴシック" w:hAnsi="ＭＳ ゴシック"/>
          <w:b/>
          <w:sz w:val="24"/>
        </w:rPr>
      </w:pPr>
      <w:r w:rsidRPr="000F386C">
        <w:rPr>
          <w:rFonts w:ascii="ＭＳ ゴシック" w:eastAsia="ＭＳ ゴシック" w:hAnsi="ＭＳ ゴシック" w:hint="eastAsia"/>
          <w:b/>
          <w:sz w:val="24"/>
        </w:rPr>
        <w:t>共用型　（介護予防）認知症対応型通所介護自主点検表</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203"/>
        <w:gridCol w:w="358"/>
        <w:gridCol w:w="358"/>
        <w:gridCol w:w="331"/>
        <w:gridCol w:w="331"/>
        <w:gridCol w:w="332"/>
        <w:gridCol w:w="332"/>
        <w:gridCol w:w="332"/>
        <w:gridCol w:w="332"/>
        <w:gridCol w:w="25"/>
        <w:gridCol w:w="307"/>
        <w:gridCol w:w="332"/>
        <w:gridCol w:w="42"/>
        <w:gridCol w:w="4525"/>
      </w:tblGrid>
      <w:tr w:rsidR="000F386C" w:rsidRPr="000F386C" w:rsidTr="003B2B6C">
        <w:trPr>
          <w:trHeight w:val="347"/>
        </w:trPr>
        <w:tc>
          <w:tcPr>
            <w:tcW w:w="2402" w:type="dxa"/>
            <w:gridSpan w:val="2"/>
            <w:tcBorders>
              <w:top w:val="single" w:sz="12" w:space="0" w:color="auto"/>
              <w:left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年月日</w:t>
            </w:r>
          </w:p>
        </w:tc>
        <w:tc>
          <w:tcPr>
            <w:tcW w:w="2781" w:type="dxa"/>
            <w:gridSpan w:val="9"/>
            <w:tcBorders>
              <w:top w:val="single" w:sz="12" w:space="0" w:color="auto"/>
              <w:right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令和　　年　　月　　日</w:t>
            </w:r>
          </w:p>
        </w:tc>
        <w:tc>
          <w:tcPr>
            <w:tcW w:w="5490" w:type="dxa"/>
            <w:gridSpan w:val="4"/>
            <w:tcBorders>
              <w:top w:val="nil"/>
              <w:left w:val="single" w:sz="12" w:space="0" w:color="auto"/>
              <w:bottom w:val="single" w:sz="12" w:space="0" w:color="auto"/>
              <w:right w:val="nil"/>
            </w:tcBorders>
            <w:vAlign w:val="center"/>
          </w:tcPr>
          <w:p w:rsidR="003B2B6C" w:rsidRPr="000F386C" w:rsidRDefault="003B2B6C" w:rsidP="003B2B6C">
            <w:pPr>
              <w:rPr>
                <w:rFonts w:ascii="ＭＳ ゴシック" w:eastAsia="ＭＳ ゴシック" w:hAnsi="ＭＳ ゴシック"/>
                <w:sz w:val="20"/>
              </w:rPr>
            </w:pPr>
          </w:p>
        </w:tc>
      </w:tr>
      <w:tr w:rsidR="000F386C" w:rsidRPr="000F386C" w:rsidTr="003B2B6C">
        <w:trPr>
          <w:trHeight w:val="347"/>
        </w:trPr>
        <w:tc>
          <w:tcPr>
            <w:tcW w:w="2402" w:type="dxa"/>
            <w:gridSpan w:val="2"/>
            <w:tcBorders>
              <w:left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法　人　名</w:t>
            </w:r>
          </w:p>
        </w:tc>
        <w:tc>
          <w:tcPr>
            <w:tcW w:w="8271" w:type="dxa"/>
            <w:gridSpan w:val="13"/>
            <w:tcBorders>
              <w:right w:val="single" w:sz="12" w:space="0" w:color="auto"/>
            </w:tcBorders>
            <w:vAlign w:val="center"/>
          </w:tcPr>
          <w:p w:rsidR="003B2B6C" w:rsidRPr="000F386C" w:rsidRDefault="003B2B6C" w:rsidP="003B2B6C">
            <w:pPr>
              <w:ind w:left="-40"/>
              <w:rPr>
                <w:rFonts w:ascii="ＭＳ ゴシック" w:eastAsia="ＭＳ ゴシック" w:hAnsi="ＭＳ ゴシック"/>
                <w:sz w:val="20"/>
              </w:rPr>
            </w:pPr>
            <w:bookmarkStart w:id="0" w:name="_GoBack"/>
            <w:bookmarkEnd w:id="0"/>
          </w:p>
        </w:tc>
      </w:tr>
      <w:tr w:rsidR="000F386C" w:rsidRPr="000F386C" w:rsidTr="003B2B6C">
        <w:trPr>
          <w:trHeight w:val="347"/>
        </w:trPr>
        <w:tc>
          <w:tcPr>
            <w:tcW w:w="2402" w:type="dxa"/>
            <w:gridSpan w:val="2"/>
            <w:tcBorders>
              <w:left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代表者（理事長）名</w:t>
            </w:r>
          </w:p>
        </w:tc>
        <w:tc>
          <w:tcPr>
            <w:tcW w:w="8271" w:type="dxa"/>
            <w:gridSpan w:val="13"/>
            <w:tcBorders>
              <w:right w:val="single" w:sz="12" w:space="0" w:color="auto"/>
            </w:tcBorders>
            <w:vAlign w:val="center"/>
          </w:tcPr>
          <w:p w:rsidR="003B2B6C" w:rsidRPr="000F386C" w:rsidRDefault="003B2B6C" w:rsidP="003B2B6C">
            <w:pPr>
              <w:ind w:left="-40"/>
              <w:rPr>
                <w:rFonts w:ascii="ＭＳ ゴシック" w:eastAsia="ＭＳ ゴシック" w:hAnsi="ＭＳ ゴシック"/>
                <w:sz w:val="20"/>
              </w:rPr>
            </w:pPr>
          </w:p>
        </w:tc>
      </w:tr>
      <w:tr w:rsidR="000F386C" w:rsidRPr="000F386C" w:rsidTr="003B2B6C">
        <w:trPr>
          <w:trHeight w:val="347"/>
        </w:trPr>
        <w:tc>
          <w:tcPr>
            <w:tcW w:w="2402" w:type="dxa"/>
            <w:gridSpan w:val="2"/>
            <w:tcBorders>
              <w:left w:val="single" w:sz="12" w:space="0" w:color="auto"/>
            </w:tcBorders>
            <w:shd w:val="clear" w:color="auto" w:fill="auto"/>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介護保険事業所番号</w:t>
            </w:r>
          </w:p>
        </w:tc>
        <w:tc>
          <w:tcPr>
            <w:tcW w:w="358" w:type="dxa"/>
            <w:shd w:val="clear" w:color="auto" w:fill="auto"/>
            <w:vAlign w:val="center"/>
          </w:tcPr>
          <w:p w:rsidR="003B2B6C" w:rsidRPr="000F386C" w:rsidRDefault="003B2B6C" w:rsidP="003B2B6C">
            <w:pPr>
              <w:ind w:left="-40"/>
              <w:rPr>
                <w:rFonts w:ascii="ＭＳ ゴシック" w:eastAsia="ＭＳ ゴシック" w:hAnsi="ＭＳ ゴシック"/>
                <w:sz w:val="20"/>
              </w:rPr>
            </w:pPr>
            <w:r w:rsidRPr="000F386C">
              <w:rPr>
                <w:rFonts w:ascii="ＭＳ ゴシック" w:eastAsia="ＭＳ ゴシック" w:hAnsi="ＭＳ ゴシック" w:hint="eastAsia"/>
                <w:sz w:val="20"/>
              </w:rPr>
              <w:t>２</w:t>
            </w:r>
          </w:p>
        </w:tc>
        <w:tc>
          <w:tcPr>
            <w:tcW w:w="358" w:type="dxa"/>
            <w:shd w:val="clear" w:color="auto" w:fill="auto"/>
            <w:vAlign w:val="center"/>
          </w:tcPr>
          <w:p w:rsidR="003B2B6C" w:rsidRPr="000F386C" w:rsidRDefault="003B2B6C" w:rsidP="003B2B6C">
            <w:pPr>
              <w:ind w:left="-40"/>
              <w:rPr>
                <w:rFonts w:ascii="ＭＳ ゴシック" w:eastAsia="ＭＳ ゴシック" w:hAnsi="ＭＳ ゴシック"/>
                <w:sz w:val="20"/>
              </w:rPr>
            </w:pPr>
            <w:r w:rsidRPr="000F386C">
              <w:rPr>
                <w:rFonts w:ascii="ＭＳ ゴシック" w:eastAsia="ＭＳ ゴシック" w:hAnsi="ＭＳ ゴシック" w:hint="eastAsia"/>
                <w:sz w:val="20"/>
              </w:rPr>
              <w:t>７</w:t>
            </w: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gridSpan w:val="2"/>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0F386C" w:rsidRDefault="003B2B6C" w:rsidP="003B2B6C">
            <w:pPr>
              <w:ind w:left="-40"/>
              <w:rPr>
                <w:rFonts w:ascii="ＭＳ ゴシック" w:eastAsia="ＭＳ ゴシック" w:hAnsi="ＭＳ ゴシック"/>
                <w:sz w:val="20"/>
              </w:rPr>
            </w:pPr>
          </w:p>
        </w:tc>
        <w:tc>
          <w:tcPr>
            <w:tcW w:w="4835" w:type="dxa"/>
            <w:gridSpan w:val="2"/>
            <w:tcBorders>
              <w:right w:val="single" w:sz="12" w:space="0" w:color="auto"/>
            </w:tcBorders>
            <w:shd w:val="clear" w:color="auto" w:fill="D9D9D9"/>
            <w:vAlign w:val="center"/>
          </w:tcPr>
          <w:p w:rsidR="003B2B6C" w:rsidRPr="000F386C" w:rsidRDefault="003B2B6C" w:rsidP="003B2B6C">
            <w:pPr>
              <w:ind w:left="-4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共用型（介護予防）認知症対応型通所</w:t>
            </w:r>
            <w:r w:rsidR="00393F79" w:rsidRPr="000F386C">
              <w:rPr>
                <w:rFonts w:ascii="ＭＳ ゴシック" w:eastAsia="ＭＳ ゴシック" w:hAnsi="ＭＳ ゴシック" w:hint="eastAsia"/>
                <w:sz w:val="18"/>
                <w:szCs w:val="18"/>
              </w:rPr>
              <w:t>介護</w:t>
            </w:r>
          </w:p>
        </w:tc>
      </w:tr>
      <w:tr w:rsidR="000F386C" w:rsidRPr="000F386C" w:rsidTr="003B2B6C">
        <w:trPr>
          <w:trHeight w:val="347"/>
        </w:trPr>
        <w:tc>
          <w:tcPr>
            <w:tcW w:w="1142" w:type="dxa"/>
            <w:vMerge w:val="restart"/>
            <w:tcBorders>
              <w:left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事務所</w:t>
            </w:r>
          </w:p>
        </w:tc>
        <w:tc>
          <w:tcPr>
            <w:tcW w:w="1260" w:type="dxa"/>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名称</w:t>
            </w:r>
          </w:p>
        </w:tc>
        <w:tc>
          <w:tcPr>
            <w:tcW w:w="8271" w:type="dxa"/>
            <w:gridSpan w:val="13"/>
            <w:tcBorders>
              <w:right w:val="single" w:sz="12" w:space="0" w:color="auto"/>
            </w:tcBorders>
            <w:vAlign w:val="center"/>
          </w:tcPr>
          <w:p w:rsidR="003B2B6C" w:rsidRPr="000F386C" w:rsidRDefault="003B2B6C" w:rsidP="003B2B6C">
            <w:pPr>
              <w:ind w:left="-40"/>
              <w:rPr>
                <w:rFonts w:ascii="ＭＳ ゴシック" w:eastAsia="ＭＳ ゴシック" w:hAnsi="ＭＳ ゴシック"/>
                <w:sz w:val="20"/>
              </w:rPr>
            </w:pPr>
          </w:p>
        </w:tc>
      </w:tr>
      <w:tr w:rsidR="000F386C" w:rsidRPr="000F386C" w:rsidTr="003B2B6C">
        <w:trPr>
          <w:trHeight w:val="347"/>
        </w:trPr>
        <w:tc>
          <w:tcPr>
            <w:tcW w:w="1142" w:type="dxa"/>
            <w:vMerge/>
            <w:tcBorders>
              <w:left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p>
        </w:tc>
        <w:tc>
          <w:tcPr>
            <w:tcW w:w="1260" w:type="dxa"/>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所在地</w:t>
            </w:r>
          </w:p>
        </w:tc>
        <w:tc>
          <w:tcPr>
            <w:tcW w:w="8271" w:type="dxa"/>
            <w:gridSpan w:val="13"/>
            <w:tcBorders>
              <w:right w:val="single" w:sz="12" w:space="0" w:color="auto"/>
            </w:tcBorders>
            <w:vAlign w:val="center"/>
          </w:tcPr>
          <w:p w:rsidR="003B2B6C" w:rsidRPr="000F386C" w:rsidRDefault="003B2B6C" w:rsidP="003B2B6C">
            <w:pPr>
              <w:ind w:left="-40"/>
              <w:rPr>
                <w:rFonts w:ascii="ＭＳ ゴシック" w:eastAsia="ＭＳ ゴシック" w:hAnsi="ＭＳ ゴシック"/>
                <w:sz w:val="20"/>
              </w:rPr>
            </w:pPr>
          </w:p>
        </w:tc>
      </w:tr>
      <w:tr w:rsidR="000F386C" w:rsidRPr="000F386C" w:rsidTr="003B2B6C">
        <w:trPr>
          <w:trHeight w:val="347"/>
        </w:trPr>
        <w:tc>
          <w:tcPr>
            <w:tcW w:w="2402" w:type="dxa"/>
            <w:gridSpan w:val="2"/>
            <w:tcBorders>
              <w:left w:val="single" w:sz="12" w:space="0" w:color="auto"/>
              <w:bottom w:val="single" w:sz="12" w:space="0" w:color="auto"/>
            </w:tcBorders>
            <w:vAlign w:val="center"/>
          </w:tcPr>
          <w:p w:rsidR="003B2B6C" w:rsidRPr="000F386C" w:rsidRDefault="003B2B6C" w:rsidP="003B2B6C">
            <w:pPr>
              <w:ind w:left="-40"/>
              <w:jc w:val="center"/>
              <w:rPr>
                <w:rFonts w:ascii="ＭＳ ゴシック" w:eastAsia="ＭＳ ゴシック" w:hAnsi="ＭＳ ゴシック"/>
                <w:sz w:val="20"/>
              </w:rPr>
            </w:pPr>
            <w:r w:rsidRPr="000F386C">
              <w:rPr>
                <w:rFonts w:ascii="ＭＳ ゴシック" w:eastAsia="ＭＳ ゴシック" w:hAnsi="ＭＳ ゴシック" w:hint="eastAsia"/>
                <w:sz w:val="20"/>
              </w:rPr>
              <w:t>記入担当者職・氏名</w:t>
            </w:r>
          </w:p>
        </w:tc>
        <w:tc>
          <w:tcPr>
            <w:tcW w:w="3480" w:type="dxa"/>
            <w:gridSpan w:val="12"/>
            <w:tcBorders>
              <w:bottom w:val="single" w:sz="12" w:space="0" w:color="auto"/>
            </w:tcBorders>
            <w:vAlign w:val="center"/>
          </w:tcPr>
          <w:p w:rsidR="003B2B6C" w:rsidRPr="000F386C" w:rsidRDefault="003B2B6C" w:rsidP="003B2B6C">
            <w:pPr>
              <w:ind w:left="-40"/>
              <w:jc w:val="left"/>
              <w:rPr>
                <w:rFonts w:ascii="ＭＳ ゴシック" w:eastAsia="ＭＳ ゴシック" w:hAnsi="ＭＳ ゴシック"/>
                <w:sz w:val="20"/>
              </w:rPr>
            </w:pPr>
            <w:r w:rsidRPr="000F386C">
              <w:rPr>
                <w:rFonts w:ascii="ＭＳ ゴシック" w:eastAsia="ＭＳ ゴシック" w:hAnsi="ＭＳ ゴシック" w:hint="eastAsia"/>
                <w:sz w:val="20"/>
              </w:rPr>
              <w:t>（職）　　　　（氏名）</w:t>
            </w:r>
          </w:p>
        </w:tc>
        <w:tc>
          <w:tcPr>
            <w:tcW w:w="4791" w:type="dxa"/>
            <w:tcBorders>
              <w:bottom w:val="single" w:sz="12" w:space="0" w:color="auto"/>
              <w:right w:val="single" w:sz="12" w:space="0" w:color="auto"/>
            </w:tcBorders>
            <w:vAlign w:val="center"/>
          </w:tcPr>
          <w:p w:rsidR="003B2B6C" w:rsidRPr="000F386C" w:rsidRDefault="003B2B6C" w:rsidP="003B2B6C">
            <w:pPr>
              <w:ind w:left="-40"/>
              <w:jc w:val="left"/>
              <w:rPr>
                <w:rFonts w:ascii="ＭＳ ゴシック" w:eastAsia="ＭＳ ゴシック" w:hAnsi="ＭＳ ゴシック"/>
                <w:sz w:val="20"/>
              </w:rPr>
            </w:pPr>
            <w:r w:rsidRPr="000F386C">
              <w:rPr>
                <w:rFonts w:ascii="ＭＳ ゴシック" w:eastAsia="ＭＳ ゴシック" w:hAnsi="ＭＳ ゴシック" w:hint="eastAsia"/>
                <w:sz w:val="20"/>
              </w:rPr>
              <w:t xml:space="preserve">連絡先電話番号　　　　－　　　　　－　　　　</w:t>
            </w:r>
          </w:p>
        </w:tc>
      </w:tr>
    </w:tbl>
    <w:p w:rsidR="003B2B6C" w:rsidRPr="000F386C" w:rsidRDefault="003B2B6C" w:rsidP="003B2B6C">
      <w:pPr>
        <w:numPr>
          <w:ilvl w:val="0"/>
          <w:numId w:val="25"/>
        </w:numPr>
        <w:spacing w:line="200" w:lineRule="exac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自主点検表記載にあたっての留意事項</w:t>
      </w:r>
    </w:p>
    <w:p w:rsidR="003B2B6C" w:rsidRPr="000F386C" w:rsidRDefault="003B2B6C" w:rsidP="003B2B6C">
      <w:pPr>
        <w:numPr>
          <w:ilvl w:val="0"/>
          <w:numId w:val="26"/>
        </w:numPr>
        <w:spacing w:line="200" w:lineRule="exac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チェック項目の内容を満たしているものについては「できている」、そうではないものは「できていない」に、</w:t>
      </w:r>
    </w:p>
    <w:p w:rsidR="003B2B6C" w:rsidRPr="000F386C" w:rsidRDefault="003B2B6C" w:rsidP="003B2B6C">
      <w:pPr>
        <w:spacing w:line="200" w:lineRule="exact"/>
        <w:ind w:left="72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該当しない内容については、「該当なし」にチェックをしてください。</w:t>
      </w:r>
    </w:p>
    <w:p w:rsidR="003B2B6C" w:rsidRPr="000F386C" w:rsidRDefault="003B2B6C" w:rsidP="003B2B6C">
      <w:pPr>
        <w:numPr>
          <w:ilvl w:val="0"/>
          <w:numId w:val="26"/>
        </w:numPr>
        <w:spacing w:line="200" w:lineRule="exac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その他については、具体的に記載してください。</w:t>
      </w:r>
    </w:p>
    <w:p w:rsidR="0026608E" w:rsidRPr="000F386C" w:rsidRDefault="0026608E" w:rsidP="003B2B6C">
      <w:pPr>
        <w:rPr>
          <w:rFonts w:ascii="ＭＳ ゴシック" w:eastAsia="ＭＳ ゴシック" w:hAnsi="ＭＳ ゴシック"/>
        </w:rPr>
      </w:pPr>
    </w:p>
    <w:p w:rsidR="003B2B6C" w:rsidRPr="000F386C" w:rsidRDefault="003B2B6C" w:rsidP="003B2B6C">
      <w:pPr>
        <w:rPr>
          <w:rFonts w:ascii="ＤＦ特太ゴシック体" w:eastAsia="ＤＦ特太ゴシック体" w:hAnsi="ＭＳ ゴシック"/>
        </w:rPr>
      </w:pPr>
      <w:r w:rsidRPr="000F386C">
        <w:rPr>
          <w:rFonts w:ascii="ＤＦ特太ゴシック体" w:eastAsia="ＤＦ特太ゴシック体" w:hAnsi="ＭＳ ゴシック" w:hint="eastAsia"/>
        </w:rPr>
        <w:t>Ⅵ（介護給付費関係）</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6795"/>
        <w:gridCol w:w="464"/>
        <w:gridCol w:w="464"/>
        <w:gridCol w:w="457"/>
      </w:tblGrid>
      <w:tr w:rsidR="000F386C" w:rsidRPr="000F386C" w:rsidTr="003B2B6C">
        <w:trPr>
          <w:cantSplit/>
          <w:trHeight w:val="318"/>
          <w:tblHeader/>
        </w:trPr>
        <w:tc>
          <w:tcPr>
            <w:tcW w:w="1154" w:type="pct"/>
            <w:tcBorders>
              <w:top w:val="single" w:sz="12" w:space="0" w:color="auto"/>
              <w:left w:val="single" w:sz="12" w:space="0" w:color="auto"/>
              <w:bottom w:val="single" w:sz="12" w:space="0" w:color="auto"/>
            </w:tcBorders>
            <w:shd w:val="clear" w:color="auto" w:fill="D9D9D9"/>
            <w:vAlign w:val="center"/>
          </w:tcPr>
          <w:p w:rsidR="003B2B6C" w:rsidRPr="000F386C" w:rsidRDefault="003B2B6C" w:rsidP="003B2B6C">
            <w:pPr>
              <w:jc w:val="center"/>
              <w:rPr>
                <w:rFonts w:ascii="ＭＳ ゴシック" w:eastAsia="ＭＳ ゴシック" w:hAnsi="ＭＳ ゴシック"/>
                <w:b/>
                <w:sz w:val="18"/>
                <w:szCs w:val="18"/>
              </w:rPr>
            </w:pPr>
            <w:r w:rsidRPr="000F386C">
              <w:rPr>
                <w:rFonts w:ascii="ＭＳ ゴシック" w:eastAsia="ＭＳ ゴシック" w:hAnsi="ＭＳ ゴシック" w:hint="eastAsia"/>
                <w:b/>
                <w:sz w:val="18"/>
                <w:szCs w:val="18"/>
              </w:rPr>
              <w:t>項　　目</w:t>
            </w:r>
          </w:p>
        </w:tc>
        <w:tc>
          <w:tcPr>
            <w:tcW w:w="3195" w:type="pct"/>
            <w:tcBorders>
              <w:top w:val="single" w:sz="12" w:space="0" w:color="auto"/>
              <w:bottom w:val="single" w:sz="12" w:space="0" w:color="auto"/>
            </w:tcBorders>
            <w:shd w:val="clear" w:color="auto" w:fill="D9D9D9"/>
            <w:vAlign w:val="center"/>
          </w:tcPr>
          <w:p w:rsidR="003B2B6C" w:rsidRPr="000F386C" w:rsidRDefault="003B2B6C" w:rsidP="003B2B6C">
            <w:pPr>
              <w:jc w:val="center"/>
              <w:rPr>
                <w:rFonts w:ascii="ＭＳ ゴシック" w:eastAsia="ＭＳ ゴシック" w:hAnsi="ＭＳ ゴシック"/>
                <w:b/>
                <w:sz w:val="18"/>
                <w:szCs w:val="18"/>
              </w:rPr>
            </w:pPr>
            <w:r w:rsidRPr="000F386C">
              <w:rPr>
                <w:rFonts w:ascii="ＭＳ ゴシック" w:eastAsia="ＭＳ ゴシック" w:hAnsi="ＭＳ ゴシック" w:hint="eastAsia"/>
                <w:b/>
                <w:sz w:val="18"/>
                <w:szCs w:val="18"/>
              </w:rPr>
              <w:t>内　　　　　　容</w:t>
            </w:r>
          </w:p>
        </w:tc>
        <w:tc>
          <w:tcPr>
            <w:tcW w:w="218" w:type="pct"/>
            <w:tcBorders>
              <w:top w:val="single" w:sz="12" w:space="0" w:color="auto"/>
              <w:bottom w:val="single" w:sz="12" w:space="0" w:color="auto"/>
              <w:right w:val="single" w:sz="4" w:space="0" w:color="auto"/>
            </w:tcBorders>
            <w:shd w:val="clear" w:color="auto" w:fill="D9D9D9"/>
            <w:vAlign w:val="center"/>
          </w:tcPr>
          <w:p w:rsidR="003B2B6C" w:rsidRPr="000F386C" w:rsidRDefault="003B2B6C" w:rsidP="003B2B6C">
            <w:pPr>
              <w:rPr>
                <w:rFonts w:ascii="ＭＳ ゴシック" w:eastAsia="ＭＳ ゴシック" w:hAnsi="ＭＳ ゴシック"/>
                <w:b/>
                <w:sz w:val="18"/>
                <w:szCs w:val="18"/>
              </w:rPr>
            </w:pPr>
            <w:r w:rsidRPr="000F386C">
              <w:rPr>
                <w:rFonts w:ascii="ＭＳ ゴシック" w:eastAsia="ＭＳ ゴシック" w:hAnsi="ＭＳ ゴシック" w:hint="eastAsia"/>
                <w:b/>
                <w:sz w:val="18"/>
                <w:szCs w:val="18"/>
              </w:rPr>
              <w:t>できている</w:t>
            </w:r>
          </w:p>
        </w:tc>
        <w:tc>
          <w:tcPr>
            <w:tcW w:w="218" w:type="pct"/>
            <w:tcBorders>
              <w:top w:val="single" w:sz="12" w:space="0" w:color="auto"/>
              <w:bottom w:val="single" w:sz="12" w:space="0" w:color="auto"/>
              <w:right w:val="single" w:sz="4" w:space="0" w:color="auto"/>
            </w:tcBorders>
            <w:shd w:val="clear" w:color="auto" w:fill="D9D9D9"/>
            <w:vAlign w:val="center"/>
          </w:tcPr>
          <w:p w:rsidR="003B2B6C" w:rsidRPr="000F386C" w:rsidRDefault="003B2B6C" w:rsidP="003B2B6C">
            <w:pPr>
              <w:rPr>
                <w:rFonts w:ascii="ＭＳ ゴシック" w:eastAsia="ＭＳ ゴシック" w:hAnsi="ＭＳ ゴシック"/>
                <w:b/>
                <w:sz w:val="18"/>
                <w:szCs w:val="18"/>
              </w:rPr>
            </w:pPr>
            <w:r w:rsidRPr="000F386C">
              <w:rPr>
                <w:rFonts w:ascii="ＭＳ ゴシック" w:eastAsia="ＭＳ ゴシック" w:hAnsi="ＭＳ ゴシック" w:hint="eastAsia"/>
                <w:b/>
                <w:sz w:val="18"/>
                <w:szCs w:val="18"/>
              </w:rPr>
              <w:t>できていない</w:t>
            </w:r>
          </w:p>
        </w:tc>
        <w:tc>
          <w:tcPr>
            <w:tcW w:w="215" w:type="pct"/>
            <w:tcBorders>
              <w:top w:val="single" w:sz="12" w:space="0" w:color="auto"/>
              <w:left w:val="single" w:sz="4" w:space="0" w:color="auto"/>
              <w:bottom w:val="single" w:sz="12" w:space="0" w:color="auto"/>
              <w:right w:val="single" w:sz="12" w:space="0" w:color="auto"/>
            </w:tcBorders>
            <w:shd w:val="clear" w:color="auto" w:fill="D9D9D9"/>
            <w:vAlign w:val="center"/>
          </w:tcPr>
          <w:p w:rsidR="003B2B6C" w:rsidRPr="000F386C" w:rsidRDefault="003B2B6C" w:rsidP="003B2B6C">
            <w:pPr>
              <w:jc w:val="center"/>
              <w:rPr>
                <w:rFonts w:ascii="ＭＳ ゴシック" w:eastAsia="ＭＳ ゴシック" w:hAnsi="ＭＳ ゴシック"/>
                <w:b/>
                <w:sz w:val="18"/>
                <w:szCs w:val="18"/>
              </w:rPr>
            </w:pPr>
            <w:r w:rsidRPr="000F386C">
              <w:rPr>
                <w:rFonts w:ascii="ＭＳ ゴシック" w:eastAsia="ＭＳ ゴシック" w:hAnsi="ＭＳ ゴシック" w:hint="eastAsia"/>
                <w:b/>
                <w:sz w:val="18"/>
                <w:szCs w:val="18"/>
              </w:rPr>
              <w:t>該当なし</w:t>
            </w:r>
          </w:p>
        </w:tc>
      </w:tr>
      <w:tr w:rsidR="000F386C" w:rsidRPr="000F386C" w:rsidTr="003B2B6C">
        <w:trPr>
          <w:cantSplit/>
          <w:trHeight w:val="50"/>
        </w:trPr>
        <w:tc>
          <w:tcPr>
            <w:tcW w:w="1154" w:type="pct"/>
            <w:vMerge w:val="restart"/>
            <w:tcBorders>
              <w:top w:val="single" w:sz="12" w:space="0" w:color="auto"/>
            </w:tcBorders>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端数処理</w:t>
            </w:r>
          </w:p>
          <w:p w:rsidR="003B2B6C" w:rsidRPr="000F386C" w:rsidRDefault="003B2B6C" w:rsidP="00474385">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12" w:space="0" w:color="auto"/>
              <w:bottom w:val="single" w:sz="4" w:space="0" w:color="auto"/>
            </w:tcBorders>
            <w:vAlign w:val="center"/>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単位数算定の際の端数処理</w:t>
            </w:r>
          </w:p>
          <w:p w:rsidR="003B2B6C" w:rsidRPr="000F386C" w:rsidRDefault="003B2B6C" w:rsidP="003B2B6C">
            <w:pPr>
              <w:ind w:left="360" w:hangingChars="200" w:hanging="36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　・</w:t>
            </w:r>
            <w:r w:rsidR="00384E9E" w:rsidRPr="000F386C">
              <w:rPr>
                <w:rFonts w:ascii="ＭＳ ゴシック" w:eastAsia="ＭＳ ゴシック" w:hAnsi="ＭＳ ゴシック" w:hint="eastAsia"/>
                <w:sz w:val="18"/>
                <w:szCs w:val="18"/>
              </w:rPr>
              <w:t xml:space="preserve">　</w:t>
            </w:r>
            <w:r w:rsidRPr="000F386C">
              <w:rPr>
                <w:rFonts w:ascii="ＭＳ ゴシック" w:eastAsia="ＭＳ ゴシック" w:hAnsi="ＭＳ ゴシック" w:hint="eastAsia"/>
                <w:sz w:val="18"/>
                <w:szCs w:val="18"/>
              </w:rPr>
              <w:t>単位数の算定については、基本となる単位数に加減算の計算を行う度に、小数点以下の端数処理（四捨五入）を行っていますか。</w:t>
            </w:r>
          </w:p>
        </w:tc>
        <w:tc>
          <w:tcPr>
            <w:tcW w:w="218" w:type="pct"/>
            <w:tcBorders>
              <w:top w:val="single" w:sz="12" w:space="0" w:color="auto"/>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top w:val="single" w:sz="12" w:space="0" w:color="auto"/>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top w:val="single" w:sz="12" w:space="0" w:color="auto"/>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70"/>
        </w:trPr>
        <w:tc>
          <w:tcPr>
            <w:tcW w:w="1154" w:type="pct"/>
            <w:vMerge/>
            <w:vAlign w:val="center"/>
          </w:tcPr>
          <w:p w:rsidR="003B2B6C" w:rsidRPr="000F386C" w:rsidRDefault="003B2B6C" w:rsidP="003B2B6C">
            <w:pPr>
              <w:rPr>
                <w:rFonts w:ascii="ＭＳ ゴシック" w:eastAsia="ＭＳ ゴシック" w:hAnsi="ＭＳ ゴシック"/>
                <w:sz w:val="18"/>
                <w:szCs w:val="18"/>
              </w:rPr>
            </w:pPr>
          </w:p>
        </w:tc>
        <w:tc>
          <w:tcPr>
            <w:tcW w:w="3195" w:type="pct"/>
            <w:tcBorders>
              <w:top w:val="single" w:sz="4" w:space="0" w:color="auto"/>
            </w:tcBorders>
            <w:vAlign w:val="center"/>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金額換算の際の端数処理</w:t>
            </w:r>
          </w:p>
          <w:p w:rsidR="003B2B6C" w:rsidRPr="000F386C" w:rsidRDefault="003B2B6C" w:rsidP="003B2B6C">
            <w:pPr>
              <w:ind w:left="360" w:hangingChars="200" w:hanging="36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　・</w:t>
            </w:r>
            <w:r w:rsidR="00384E9E" w:rsidRPr="000F386C">
              <w:rPr>
                <w:rFonts w:ascii="ＭＳ ゴシック" w:eastAsia="ＭＳ ゴシック" w:hAnsi="ＭＳ ゴシック" w:hint="eastAsia"/>
                <w:sz w:val="18"/>
                <w:szCs w:val="18"/>
              </w:rPr>
              <w:t xml:space="preserve">　</w:t>
            </w:r>
            <w:r w:rsidRPr="000F386C">
              <w:rPr>
                <w:rFonts w:ascii="ＭＳ ゴシック" w:eastAsia="ＭＳ ゴシック" w:hAnsi="ＭＳ ゴシック" w:hint="eastAsia"/>
                <w:sz w:val="18"/>
                <w:szCs w:val="18"/>
              </w:rPr>
              <w:t>算定された単位数から金額に換算する際に生ずる１円未満（小数点以下）の端数があるときは、端数を切り捨てていますか。</w:t>
            </w:r>
          </w:p>
        </w:tc>
        <w:tc>
          <w:tcPr>
            <w:tcW w:w="218" w:type="pct"/>
            <w:tcBorders>
              <w:top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top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top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738"/>
        </w:trPr>
        <w:tc>
          <w:tcPr>
            <w:tcW w:w="1154" w:type="pct"/>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サービス種類相互の算定関係について</w:t>
            </w:r>
          </w:p>
          <w:p w:rsidR="003B2B6C" w:rsidRPr="000F386C" w:rsidRDefault="00CD3A22"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dotted" w:sz="4" w:space="0" w:color="auto"/>
            </w:tcBorders>
            <w:vAlign w:val="center"/>
          </w:tcPr>
          <w:p w:rsidR="003B2B6C" w:rsidRPr="000F386C" w:rsidRDefault="00384E9E" w:rsidP="00384E9E">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利用者が</w:t>
            </w:r>
            <w:r w:rsidR="003B2B6C" w:rsidRPr="000F386C">
              <w:rPr>
                <w:rFonts w:ascii="ＭＳ ゴシック" w:eastAsia="ＭＳ ゴシック" w:hAnsi="ＭＳ ゴシック" w:hint="eastAsia"/>
                <w:sz w:val="18"/>
                <w:szCs w:val="18"/>
              </w:rPr>
              <w:t>短期入所生活介護、短期入所療養介護、特定施設入居者生活介護又は小規模多機能型居宅介護、認知症対応型共同生活介護、地域密着型特定施設入居者生活介護、地域密着型介護老人福祉施設</w:t>
            </w:r>
            <w:r w:rsidR="00B22887">
              <w:rPr>
                <w:rFonts w:ascii="ＭＳ ゴシック" w:eastAsia="ＭＳ ゴシック" w:hAnsi="ＭＳ ゴシック" w:hint="eastAsia"/>
                <w:sz w:val="18"/>
                <w:szCs w:val="18"/>
              </w:rPr>
              <w:t>入居者</w:t>
            </w:r>
            <w:r w:rsidR="003B2B6C" w:rsidRPr="000F386C">
              <w:rPr>
                <w:rFonts w:ascii="ＭＳ ゴシック" w:eastAsia="ＭＳ ゴシック" w:hAnsi="ＭＳ ゴシック" w:hint="eastAsia"/>
                <w:sz w:val="18"/>
                <w:szCs w:val="18"/>
              </w:rPr>
              <w:t>生活介護若しくは複合型サービスを受けている間は、認知症対応型通所介護費は、算定</w:t>
            </w:r>
            <w:r w:rsidR="000961E9" w:rsidRPr="000F386C">
              <w:rPr>
                <w:rFonts w:ascii="ＭＳ ゴシック" w:eastAsia="ＭＳ ゴシック" w:hAnsi="ＭＳ ゴシック" w:hint="eastAsia"/>
                <w:sz w:val="18"/>
                <w:szCs w:val="18"/>
              </w:rPr>
              <w:t>していませんか</w:t>
            </w:r>
            <w:r w:rsidR="003B2B6C" w:rsidRPr="000F386C">
              <w:rPr>
                <w:rFonts w:ascii="ＭＳ ゴシック" w:eastAsia="ＭＳ ゴシック" w:hAnsi="ＭＳ ゴシック" w:hint="eastAsia"/>
                <w:sz w:val="18"/>
                <w:szCs w:val="18"/>
              </w:rPr>
              <w:t>。</w:t>
            </w:r>
          </w:p>
        </w:tc>
        <w:tc>
          <w:tcPr>
            <w:tcW w:w="218" w:type="pct"/>
            <w:tcBorders>
              <w:top w:val="dotted"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top w:val="dotted"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top w:val="dotted"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446"/>
        </w:trPr>
        <w:tc>
          <w:tcPr>
            <w:tcW w:w="1154" w:type="pct"/>
            <w:tcBorders>
              <w:top w:val="single" w:sz="4" w:space="0" w:color="auto"/>
            </w:tcBorders>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介護給付費単位</w:t>
            </w:r>
          </w:p>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vAlign w:val="center"/>
          </w:tcPr>
          <w:p w:rsidR="003B2B6C" w:rsidRPr="000F386C" w:rsidRDefault="003B2B6C" w:rsidP="00384E9E">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利用者の要介護状態区分・所要時間に応じて、それぞれ所定単位数を算定していますか。</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446"/>
        </w:trPr>
        <w:tc>
          <w:tcPr>
            <w:tcW w:w="1154" w:type="pct"/>
            <w:tcBorders>
              <w:top w:val="single" w:sz="4" w:space="0" w:color="auto"/>
              <w:bottom w:val="nil"/>
            </w:tcBorders>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所要時間による区分の取り扱い</w:t>
            </w:r>
          </w:p>
        </w:tc>
        <w:tc>
          <w:tcPr>
            <w:tcW w:w="3195" w:type="pct"/>
            <w:tcBorders>
              <w:top w:val="single" w:sz="4" w:space="0" w:color="auto"/>
              <w:bottom w:val="single" w:sz="4" w:space="0" w:color="auto"/>
            </w:tcBorders>
            <w:vAlign w:val="center"/>
          </w:tcPr>
          <w:p w:rsidR="003B2B6C" w:rsidRPr="000F386C" w:rsidRDefault="003B2B6C" w:rsidP="00384E9E">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所要時間による区分については、現に要した時間ではなく、認知症対応型通所介護計画に位置付けられた内容の認知症対応型通所介護を行うための標準的な時間となっていますか。</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446"/>
        </w:trPr>
        <w:tc>
          <w:tcPr>
            <w:tcW w:w="1154" w:type="pct"/>
            <w:tcBorders>
              <w:top w:val="nil"/>
              <w:bottom w:val="nil"/>
            </w:tcBorders>
          </w:tcPr>
          <w:p w:rsidR="003B2B6C" w:rsidRPr="000F386C" w:rsidRDefault="003B2B6C" w:rsidP="003B2B6C">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3B2B6C" w:rsidRPr="000F386C" w:rsidRDefault="003B2B6C" w:rsidP="003B2B6C">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単に当日のサービスの進行状況や利用者の家族の出迎え等の都合で、当該利用者が通常の時間を超えて事業所にいる場合は、認知症対応型通所介護のサービスが提供されるとは認められないため、この場合は当初計画に位置付けられた所要時間に応じた所定単位数を算定すること。</w:t>
            </w:r>
          </w:p>
          <w:p w:rsidR="003B2B6C" w:rsidRPr="000F386C" w:rsidRDefault="003B2B6C" w:rsidP="003B2B6C">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このような家族等の出迎え等までの間の「預かり」サービスについては、利用者から別途利用料を徴収して差し支えない。</w:t>
            </w:r>
          </w:p>
          <w:p w:rsidR="003B2B6C" w:rsidRPr="000F386C" w:rsidRDefault="003B2B6C" w:rsidP="003B2B6C">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当日の利用者の心身の状況</w:t>
            </w:r>
            <w:r w:rsidR="006103C3" w:rsidRPr="006103C3">
              <w:rPr>
                <w:rFonts w:ascii="ＭＳ ゴシック" w:eastAsia="ＭＳ ゴシック" w:hAnsi="ＭＳ ゴシック" w:hint="eastAsia"/>
                <w:color w:val="FF0000"/>
                <w:sz w:val="18"/>
                <w:szCs w:val="18"/>
              </w:rPr>
              <w:t>や降雪等の急な気象状況の悪化</w:t>
            </w:r>
            <w:r w:rsidR="00343927">
              <w:rPr>
                <w:rFonts w:ascii="ＭＳ ゴシック" w:eastAsia="ＭＳ ゴシック" w:hAnsi="ＭＳ ゴシック" w:hint="eastAsia"/>
                <w:color w:val="FF0000"/>
                <w:sz w:val="18"/>
                <w:szCs w:val="18"/>
              </w:rPr>
              <w:t>等</w:t>
            </w:r>
            <w:r w:rsidR="006103C3" w:rsidRPr="006103C3">
              <w:rPr>
                <w:rFonts w:ascii="ＭＳ ゴシック" w:eastAsia="ＭＳ ゴシック" w:hAnsi="ＭＳ ゴシック" w:hint="eastAsia"/>
                <w:color w:val="FF0000"/>
                <w:sz w:val="18"/>
                <w:szCs w:val="18"/>
              </w:rPr>
              <w:t>により、</w:t>
            </w:r>
            <w:r w:rsidRPr="000F386C">
              <w:rPr>
                <w:rFonts w:ascii="ＭＳ ゴシック" w:eastAsia="ＭＳ ゴシック" w:hAnsi="ＭＳ ゴシック" w:hint="eastAsia"/>
                <w:sz w:val="18"/>
                <w:szCs w:val="18"/>
              </w:rPr>
              <w:t>実際の認知症対応型通所介護の提供が認知症対応型通所介護計画上の所要時間よりもやむを得ず短くなった場合には、認知症対応型通所介護計画上の単位数を算定して差し支えない。</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70"/>
        </w:trPr>
        <w:tc>
          <w:tcPr>
            <w:tcW w:w="1154" w:type="pct"/>
            <w:tcBorders>
              <w:top w:val="nil"/>
              <w:bottom w:val="nil"/>
            </w:tcBorders>
          </w:tcPr>
          <w:p w:rsidR="003B2B6C" w:rsidRPr="000F386C" w:rsidRDefault="003B2B6C" w:rsidP="003B2B6C">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3B2B6C" w:rsidRPr="000F386C" w:rsidRDefault="003B2B6C" w:rsidP="00384E9E">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認知症対応型通所介護計画上の所要時間よりも大きく短縮した場合には、認知症対応型通所介護計画を変更のうえ、変更後の所要時間に応じた単位数を算定していますか。</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446"/>
        </w:trPr>
        <w:tc>
          <w:tcPr>
            <w:tcW w:w="1154" w:type="pct"/>
            <w:tcBorders>
              <w:top w:val="nil"/>
              <w:bottom w:val="dashSmallGap" w:sz="4" w:space="0" w:color="auto"/>
            </w:tcBorders>
          </w:tcPr>
          <w:p w:rsidR="003B2B6C" w:rsidRPr="000F386C" w:rsidRDefault="003B2B6C" w:rsidP="003B2B6C">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3B2B6C" w:rsidRPr="000F386C" w:rsidRDefault="003B2B6C" w:rsidP="00384E9E">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同一の日の異なる時間帯に複数の単位を行う事業所においては、利用者が同一の日に複数の認知症対応型通所介護の単位を利用する場合には、それぞれの認知症対応型通所介護の単位について所定単位を算定していますか。</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3B2B6C">
        <w:trPr>
          <w:cantSplit/>
          <w:trHeight w:val="446"/>
        </w:trPr>
        <w:tc>
          <w:tcPr>
            <w:tcW w:w="1154" w:type="pct"/>
            <w:tcBorders>
              <w:top w:val="dashSmallGap" w:sz="4" w:space="0" w:color="auto"/>
              <w:bottom w:val="nil"/>
            </w:tcBorders>
          </w:tcPr>
          <w:p w:rsidR="003B2B6C" w:rsidRPr="000F386C" w:rsidRDefault="003B2B6C" w:rsidP="003B2B6C">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居宅内介助等を所要時間に含む場合の取扱いについて</w:t>
            </w:r>
          </w:p>
        </w:tc>
        <w:tc>
          <w:tcPr>
            <w:tcW w:w="3195" w:type="pct"/>
            <w:tcBorders>
              <w:top w:val="single" w:sz="4" w:space="0" w:color="auto"/>
              <w:bottom w:val="single" w:sz="4" w:space="0" w:color="auto"/>
            </w:tcBorders>
            <w:vAlign w:val="center"/>
          </w:tcPr>
          <w:p w:rsidR="003B2B6C" w:rsidRPr="000F386C" w:rsidRDefault="003B2B6C" w:rsidP="00384E9E">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認知症対応型通所介護を行うのに要する時間には、送迎に要する時間は含まれないものであるが、送迎時に実施した居宅内での介助等（着替え、ベッド・車椅子への移乗、戸締り等）に要する時間は、次のいずれの用件も満たす場合、１日30分以内を限度として、認知症対応型通所介護を行うのに要する時間に含めていますか。</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3B2B6C" w:rsidRPr="000F386C" w:rsidRDefault="003B2B6C" w:rsidP="003B2B6C">
            <w:pPr>
              <w:jc w:val="center"/>
            </w:pPr>
            <w:r w:rsidRPr="000F386C">
              <w:rPr>
                <w:rFonts w:ascii="ＭＳ ゴシック" w:eastAsia="ＭＳ ゴシック" w:hAnsi="ＭＳ ゴシック" w:hint="eastAsia"/>
                <w:sz w:val="24"/>
              </w:rPr>
              <w:t>□</w:t>
            </w:r>
          </w:p>
        </w:tc>
      </w:tr>
      <w:tr w:rsidR="000F386C" w:rsidRPr="000F386C" w:rsidTr="00810036">
        <w:trPr>
          <w:cantSplit/>
          <w:trHeight w:val="446"/>
        </w:trPr>
        <w:tc>
          <w:tcPr>
            <w:tcW w:w="1154" w:type="pct"/>
            <w:tcBorders>
              <w:top w:val="nil"/>
              <w:bottom w:val="nil"/>
            </w:tcBorders>
            <w:shd w:val="clear" w:color="auto" w:fill="auto"/>
          </w:tcPr>
          <w:p w:rsidR="003B2B6C" w:rsidRPr="000F386C" w:rsidRDefault="003B2B6C" w:rsidP="003B2B6C">
            <w:pPr>
              <w:rPr>
                <w:rFonts w:ascii="ＭＳ ゴシック" w:eastAsia="ＭＳ ゴシック" w:hAnsi="ＭＳ ゴシック"/>
                <w:sz w:val="18"/>
                <w:szCs w:val="18"/>
              </w:rPr>
            </w:pPr>
          </w:p>
        </w:tc>
        <w:tc>
          <w:tcPr>
            <w:tcW w:w="3195" w:type="pct"/>
            <w:tcBorders>
              <w:top w:val="single" w:sz="4" w:space="0" w:color="auto"/>
              <w:bottom w:val="single" w:sz="4" w:space="0" w:color="auto"/>
            </w:tcBorders>
            <w:shd w:val="clear" w:color="auto" w:fill="auto"/>
            <w:vAlign w:val="center"/>
          </w:tcPr>
          <w:p w:rsidR="003B2B6C" w:rsidRPr="000F386C" w:rsidRDefault="003B2B6C" w:rsidP="003B2B6C">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①　居宅サービス計画及び認知症対応型通所介護計画に位置付けた上で実施する場合</w:t>
            </w:r>
          </w:p>
        </w:tc>
        <w:tc>
          <w:tcPr>
            <w:tcW w:w="218" w:type="pct"/>
            <w:tcBorders>
              <w:bottom w:val="single" w:sz="4" w:space="0" w:color="auto"/>
            </w:tcBorders>
            <w:shd w:val="clear" w:color="auto" w:fill="BFBFBF"/>
            <w:vAlign w:val="center"/>
          </w:tcPr>
          <w:p w:rsidR="003B2B6C" w:rsidRPr="000F386C" w:rsidRDefault="003B2B6C" w:rsidP="003B2B6C">
            <w:pPr>
              <w:jc w:val="center"/>
              <w:rPr>
                <w:rFonts w:ascii="ＭＳ ゴシック" w:eastAsia="ＭＳ ゴシック" w:hAnsi="ＭＳ ゴシック"/>
                <w:sz w:val="24"/>
              </w:rPr>
            </w:pPr>
          </w:p>
        </w:tc>
        <w:tc>
          <w:tcPr>
            <w:tcW w:w="218" w:type="pct"/>
            <w:tcBorders>
              <w:bottom w:val="single" w:sz="4" w:space="0" w:color="auto"/>
            </w:tcBorders>
            <w:shd w:val="clear" w:color="auto" w:fill="BFBFBF"/>
            <w:vAlign w:val="center"/>
          </w:tcPr>
          <w:p w:rsidR="003B2B6C" w:rsidRPr="000F386C" w:rsidRDefault="003B2B6C" w:rsidP="003B2B6C">
            <w:pPr>
              <w:jc w:val="center"/>
              <w:rPr>
                <w:rFonts w:ascii="ＭＳ ゴシック" w:eastAsia="ＭＳ ゴシック" w:hAnsi="ＭＳ ゴシック"/>
                <w:sz w:val="24"/>
              </w:rPr>
            </w:pPr>
          </w:p>
        </w:tc>
        <w:tc>
          <w:tcPr>
            <w:tcW w:w="215" w:type="pct"/>
            <w:tcBorders>
              <w:bottom w:val="single" w:sz="4" w:space="0" w:color="auto"/>
            </w:tcBorders>
            <w:shd w:val="clear" w:color="auto" w:fill="BFBFBF"/>
            <w:vAlign w:val="center"/>
          </w:tcPr>
          <w:p w:rsidR="003B2B6C" w:rsidRPr="000F386C" w:rsidRDefault="003B2B6C" w:rsidP="003B2B6C">
            <w:pPr>
              <w:jc w:val="center"/>
              <w:rPr>
                <w:rFonts w:ascii="ＭＳ ゴシック" w:eastAsia="ＭＳ ゴシック" w:hAnsi="ＭＳ ゴシック"/>
                <w:sz w:val="24"/>
              </w:rPr>
            </w:pPr>
          </w:p>
        </w:tc>
      </w:tr>
      <w:tr w:rsidR="000F386C" w:rsidRPr="000F386C" w:rsidTr="00810036">
        <w:trPr>
          <w:cantSplit/>
          <w:trHeight w:val="446"/>
        </w:trPr>
        <w:tc>
          <w:tcPr>
            <w:tcW w:w="1154" w:type="pct"/>
            <w:tcBorders>
              <w:top w:val="nil"/>
              <w:bottom w:val="single" w:sz="4" w:space="0" w:color="auto"/>
            </w:tcBorders>
            <w:shd w:val="clear" w:color="auto" w:fill="auto"/>
          </w:tcPr>
          <w:p w:rsidR="003B2B6C" w:rsidRPr="000F386C" w:rsidRDefault="003B2B6C" w:rsidP="003B2B6C">
            <w:pPr>
              <w:rPr>
                <w:rFonts w:ascii="ＭＳ ゴシック" w:eastAsia="ＭＳ ゴシック" w:hAnsi="ＭＳ ゴシック"/>
                <w:sz w:val="18"/>
                <w:szCs w:val="18"/>
              </w:rPr>
            </w:pPr>
          </w:p>
        </w:tc>
        <w:tc>
          <w:tcPr>
            <w:tcW w:w="3195" w:type="pct"/>
            <w:tcBorders>
              <w:top w:val="single" w:sz="4" w:space="0" w:color="auto"/>
              <w:bottom w:val="single" w:sz="4" w:space="0" w:color="auto"/>
            </w:tcBorders>
            <w:shd w:val="clear" w:color="auto" w:fill="auto"/>
            <w:vAlign w:val="center"/>
          </w:tcPr>
          <w:p w:rsidR="003B2B6C" w:rsidRPr="000F386C" w:rsidRDefault="003B2B6C" w:rsidP="003B2B6C">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②　送迎時に居宅内の介助等を行う者が、介護福祉士、実務者研修修了者、介護職員基礎研修課程修了者、１級課程修了者、介護職員初任者研修修了者（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218" w:type="pct"/>
            <w:tcBorders>
              <w:bottom w:val="single" w:sz="4" w:space="0" w:color="auto"/>
            </w:tcBorders>
            <w:shd w:val="clear" w:color="auto" w:fill="BFBFBF"/>
            <w:vAlign w:val="center"/>
          </w:tcPr>
          <w:p w:rsidR="003B2B6C" w:rsidRPr="000F386C" w:rsidRDefault="003B2B6C" w:rsidP="003B2B6C">
            <w:pPr>
              <w:jc w:val="center"/>
              <w:rPr>
                <w:rFonts w:ascii="ＭＳ ゴシック" w:eastAsia="ＭＳ ゴシック" w:hAnsi="ＭＳ ゴシック"/>
                <w:sz w:val="24"/>
              </w:rPr>
            </w:pPr>
          </w:p>
        </w:tc>
        <w:tc>
          <w:tcPr>
            <w:tcW w:w="218" w:type="pct"/>
            <w:tcBorders>
              <w:bottom w:val="single" w:sz="4" w:space="0" w:color="auto"/>
            </w:tcBorders>
            <w:shd w:val="clear" w:color="auto" w:fill="BFBFBF"/>
            <w:vAlign w:val="center"/>
          </w:tcPr>
          <w:p w:rsidR="003B2B6C" w:rsidRPr="000F386C" w:rsidRDefault="003B2B6C" w:rsidP="003B2B6C">
            <w:pPr>
              <w:jc w:val="center"/>
              <w:rPr>
                <w:rFonts w:ascii="ＭＳ ゴシック" w:eastAsia="ＭＳ ゴシック" w:hAnsi="ＭＳ ゴシック"/>
                <w:sz w:val="24"/>
              </w:rPr>
            </w:pPr>
          </w:p>
        </w:tc>
        <w:tc>
          <w:tcPr>
            <w:tcW w:w="215" w:type="pct"/>
            <w:tcBorders>
              <w:bottom w:val="single" w:sz="4" w:space="0" w:color="auto"/>
            </w:tcBorders>
            <w:shd w:val="clear" w:color="auto" w:fill="BFBFBF"/>
            <w:vAlign w:val="center"/>
          </w:tcPr>
          <w:p w:rsidR="003B2B6C" w:rsidRPr="000F386C" w:rsidRDefault="003B2B6C" w:rsidP="003B2B6C">
            <w:pPr>
              <w:jc w:val="center"/>
              <w:rPr>
                <w:rFonts w:ascii="ＭＳ ゴシック" w:eastAsia="ＭＳ ゴシック" w:hAnsi="ＭＳ ゴシック"/>
                <w:sz w:val="24"/>
              </w:rPr>
            </w:pPr>
          </w:p>
        </w:tc>
      </w:tr>
      <w:tr w:rsidR="00F34ADF" w:rsidRPr="000F386C" w:rsidTr="00F34ADF">
        <w:trPr>
          <w:cantSplit/>
          <w:trHeight w:val="446"/>
        </w:trPr>
        <w:tc>
          <w:tcPr>
            <w:tcW w:w="1154" w:type="pct"/>
            <w:vMerge w:val="restart"/>
            <w:tcBorders>
              <w:top w:val="nil"/>
            </w:tcBorders>
            <w:shd w:val="clear" w:color="auto" w:fill="auto"/>
          </w:tcPr>
          <w:p w:rsidR="00F34ADF" w:rsidRDefault="00F34ADF" w:rsidP="00F34ADF">
            <w:pPr>
              <w:wordWrap w:val="0"/>
              <w:snapToGrid w:val="0"/>
              <w:spacing w:line="260" w:lineRule="exact"/>
              <w:rPr>
                <w:rFonts w:ascii="ＭＳ ゴシック" w:eastAsia="ＭＳ ゴシック" w:hAnsi="ＭＳ ゴシック"/>
                <w:color w:val="FF0000"/>
                <w:spacing w:val="-7"/>
                <w:sz w:val="20"/>
                <w:szCs w:val="20"/>
              </w:rPr>
            </w:pPr>
            <w:r w:rsidRPr="00F5565C">
              <w:rPr>
                <w:rFonts w:ascii="ＭＳ ゴシック" w:eastAsia="ＭＳ ゴシック" w:hAnsi="ＭＳ ゴシック" w:hint="eastAsia"/>
                <w:color w:val="FF0000"/>
                <w:spacing w:val="-7"/>
                <w:sz w:val="20"/>
                <w:szCs w:val="20"/>
              </w:rPr>
              <w:t>高齢者虐待防止措置未実施減算</w:t>
            </w:r>
          </w:p>
          <w:p w:rsidR="00F34ADF" w:rsidRPr="00F5565C"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tcPr>
          <w:p w:rsidR="00F34ADF" w:rsidRPr="00F5565C" w:rsidRDefault="00F34ADF" w:rsidP="00F34ADF">
            <w:pPr>
              <w:spacing w:line="260" w:lineRule="exact"/>
              <w:ind w:left="300" w:hangingChars="150" w:hanging="300"/>
              <w:jc w:val="left"/>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(1)</w:t>
            </w:r>
            <w:r w:rsidR="00656579">
              <w:rPr>
                <w:rFonts w:ascii="ＭＳ ゴシック" w:eastAsia="ＭＳ ゴシック" w:hAnsi="ＭＳ ゴシック" w:hint="eastAsia"/>
                <w:color w:val="FF0000"/>
                <w:sz w:val="20"/>
                <w:szCs w:val="20"/>
              </w:rPr>
              <w:t>地域密着型サービス基準第3条の38の２</w:t>
            </w:r>
            <w:r w:rsidRPr="00F5565C">
              <w:rPr>
                <w:rFonts w:ascii="ＭＳ ゴシック" w:eastAsia="ＭＳ ゴシック" w:hAnsi="ＭＳ ゴシック" w:hint="eastAsia"/>
                <w:color w:val="FF0000"/>
                <w:sz w:val="20"/>
                <w:szCs w:val="20"/>
              </w:rPr>
              <w:t>に規定する措置（委員会・指針・研修・担当者の設置）を講じていますか。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F34ADF" w:rsidRPr="000F386C" w:rsidTr="00F34ADF">
        <w:trPr>
          <w:cantSplit/>
          <w:trHeight w:val="446"/>
        </w:trPr>
        <w:tc>
          <w:tcPr>
            <w:tcW w:w="1154" w:type="pct"/>
            <w:vMerge/>
            <w:shd w:val="clear" w:color="auto" w:fill="auto"/>
          </w:tcPr>
          <w:p w:rsidR="00F34ADF" w:rsidRPr="00F5565C"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tcPr>
          <w:p w:rsidR="00F34ADF" w:rsidRPr="00F5565C" w:rsidRDefault="00F34ADF" w:rsidP="00F34ADF">
            <w:pPr>
              <w:spacing w:line="260" w:lineRule="exact"/>
              <w:ind w:left="400" w:hangingChars="200" w:hanging="4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(2)上記の記録及び措置を行っていない事実が生じた場合に、次の事項を行っていますか。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F34ADF" w:rsidRPr="000F386C" w:rsidTr="00F34ADF">
        <w:trPr>
          <w:cantSplit/>
          <w:trHeight w:val="446"/>
        </w:trPr>
        <w:tc>
          <w:tcPr>
            <w:tcW w:w="1154" w:type="pct"/>
            <w:vMerge/>
            <w:shd w:val="clear" w:color="auto" w:fill="auto"/>
          </w:tcPr>
          <w:p w:rsidR="00F34ADF" w:rsidRPr="00F5565C"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vAlign w:val="center"/>
          </w:tcPr>
          <w:p w:rsidR="00F34ADF" w:rsidRPr="00F5565C" w:rsidRDefault="00F34ADF" w:rsidP="00F34ADF">
            <w:pPr>
              <w:spacing w:line="260" w:lineRule="exact"/>
              <w:ind w:firstLineChars="100" w:firstLine="2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①　速やかに改善計画を東大阪市に提出している。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F34ADF" w:rsidRPr="000F386C" w:rsidTr="00F34ADF">
        <w:trPr>
          <w:cantSplit/>
          <w:trHeight w:val="446"/>
        </w:trPr>
        <w:tc>
          <w:tcPr>
            <w:tcW w:w="1154" w:type="pct"/>
            <w:vMerge/>
            <w:shd w:val="clear" w:color="auto" w:fill="auto"/>
          </w:tcPr>
          <w:p w:rsidR="00F34ADF" w:rsidRPr="00F5565C"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tcPr>
          <w:p w:rsidR="00F34ADF" w:rsidRPr="00F5565C" w:rsidRDefault="00F34ADF" w:rsidP="00F34ADF">
            <w:pPr>
              <w:spacing w:line="260" w:lineRule="exact"/>
              <w:ind w:leftChars="91" w:left="391" w:hangingChars="100" w:hanging="2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②　改善計画提出後、事実が生じた月から３月後に改善計画に基づく改善状況を東大阪市に報告している。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F34ADF" w:rsidRPr="000F386C" w:rsidTr="00F34ADF">
        <w:trPr>
          <w:cantSplit/>
          <w:trHeight w:val="446"/>
        </w:trPr>
        <w:tc>
          <w:tcPr>
            <w:tcW w:w="1154" w:type="pct"/>
            <w:vMerge/>
            <w:tcBorders>
              <w:bottom w:val="single" w:sz="4" w:space="0" w:color="auto"/>
            </w:tcBorders>
            <w:shd w:val="clear" w:color="auto" w:fill="auto"/>
          </w:tcPr>
          <w:p w:rsidR="00F34ADF" w:rsidRPr="00F5565C"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tcPr>
          <w:p w:rsidR="00F34ADF" w:rsidRPr="00F5565C" w:rsidRDefault="00F34ADF" w:rsidP="00F34ADF">
            <w:pPr>
              <w:spacing w:line="260" w:lineRule="exact"/>
              <w:ind w:leftChars="89" w:left="387" w:hangingChars="100" w:hanging="2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③　上記①・②の手続きを行った上で、事実が生じた月の翌月から改善が認められた月までの間、入所者全員について所定単位数から、所定単位数の100分の1に相当する単位数を減算している。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F34ADF" w:rsidRPr="000F386C" w:rsidTr="00F34ADF">
        <w:trPr>
          <w:cantSplit/>
          <w:trHeight w:val="446"/>
        </w:trPr>
        <w:tc>
          <w:tcPr>
            <w:tcW w:w="1154" w:type="pct"/>
            <w:vMerge w:val="restart"/>
            <w:tcBorders>
              <w:top w:val="nil"/>
            </w:tcBorders>
            <w:shd w:val="clear" w:color="auto" w:fill="auto"/>
          </w:tcPr>
          <w:p w:rsidR="00F34ADF" w:rsidRDefault="00F34ADF" w:rsidP="00F34ADF">
            <w:pPr>
              <w:wordWrap w:val="0"/>
              <w:snapToGrid w:val="0"/>
              <w:spacing w:line="260" w:lineRule="exact"/>
              <w:rPr>
                <w:rFonts w:ascii="ＭＳ ゴシック" w:eastAsia="ＭＳ ゴシック" w:hAnsi="ＭＳ ゴシック"/>
                <w:color w:val="FF0000"/>
                <w:spacing w:val="-7"/>
                <w:sz w:val="20"/>
                <w:szCs w:val="20"/>
              </w:rPr>
            </w:pPr>
            <w:r w:rsidRPr="0060311E">
              <w:rPr>
                <w:rFonts w:ascii="ＭＳ ゴシック" w:eastAsia="ＭＳ ゴシック" w:hAnsi="ＭＳ ゴシック" w:hint="eastAsia"/>
                <w:color w:val="FF0000"/>
                <w:spacing w:val="-7"/>
                <w:sz w:val="20"/>
                <w:szCs w:val="20"/>
              </w:rPr>
              <w:t>業務継続計画未策定減算について</w:t>
            </w:r>
          </w:p>
          <w:p w:rsidR="00F34ADF" w:rsidRPr="0060311E"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tcPr>
          <w:p w:rsidR="00F34ADF" w:rsidRPr="0060311E" w:rsidRDefault="00F34ADF" w:rsidP="00F34ADF">
            <w:pPr>
              <w:spacing w:line="260" w:lineRule="exact"/>
              <w:ind w:left="300" w:hangingChars="150" w:hanging="300"/>
              <w:rPr>
                <w:rFonts w:ascii="ＭＳ ゴシック" w:eastAsia="ＭＳ ゴシック" w:hAnsi="ＭＳ ゴシック"/>
                <w:color w:val="FF0000"/>
                <w:sz w:val="20"/>
                <w:szCs w:val="20"/>
              </w:rPr>
            </w:pPr>
            <w:r w:rsidRPr="0060311E">
              <w:rPr>
                <w:rFonts w:ascii="ＭＳ ゴシック" w:eastAsia="ＭＳ ゴシック" w:hAnsi="ＭＳ ゴシック" w:hint="eastAsia"/>
                <w:color w:val="FF0000"/>
                <w:sz w:val="20"/>
                <w:szCs w:val="20"/>
              </w:rPr>
              <w:t>(1)</w:t>
            </w:r>
            <w:r w:rsidR="00656579">
              <w:rPr>
                <w:rFonts w:ascii="ＭＳ ゴシック" w:eastAsia="ＭＳ ゴシック" w:hAnsi="ＭＳ ゴシック" w:hint="eastAsia"/>
                <w:color w:val="FF0000"/>
                <w:sz w:val="20"/>
                <w:szCs w:val="20"/>
              </w:rPr>
              <w:t xml:space="preserve"> 地域密着型サービス基準第3</w:t>
            </w:r>
            <w:r w:rsidRPr="0060311E">
              <w:rPr>
                <w:rFonts w:ascii="ＭＳ ゴシック" w:eastAsia="ＭＳ ゴシック" w:hAnsi="ＭＳ ゴシック" w:hint="eastAsia"/>
                <w:color w:val="FF0000"/>
                <w:sz w:val="20"/>
                <w:szCs w:val="20"/>
              </w:rPr>
              <w:t>条の</w:t>
            </w:r>
            <w:r w:rsidR="00656579">
              <w:rPr>
                <w:rFonts w:ascii="ＭＳ ゴシック" w:eastAsia="ＭＳ ゴシック" w:hAnsi="ＭＳ ゴシック" w:hint="eastAsia"/>
                <w:color w:val="FF0000"/>
                <w:sz w:val="20"/>
                <w:szCs w:val="20"/>
              </w:rPr>
              <w:t>30の２</w:t>
            </w:r>
            <w:r w:rsidRPr="0060311E">
              <w:rPr>
                <w:rFonts w:ascii="ＭＳ ゴシック" w:eastAsia="ＭＳ ゴシック" w:hAnsi="ＭＳ ゴシック" w:hint="eastAsia"/>
                <w:color w:val="FF0000"/>
                <w:sz w:val="20"/>
                <w:szCs w:val="20"/>
              </w:rPr>
              <w:t>第1項に規定する業務継続計画（感染症・非常時災害）を策定し、必要な措置を講じていますか。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F34ADF" w:rsidRPr="000F386C" w:rsidTr="00F34ADF">
        <w:trPr>
          <w:cantSplit/>
          <w:trHeight w:val="446"/>
        </w:trPr>
        <w:tc>
          <w:tcPr>
            <w:tcW w:w="1154" w:type="pct"/>
            <w:vMerge/>
            <w:shd w:val="clear" w:color="auto" w:fill="auto"/>
          </w:tcPr>
          <w:p w:rsidR="00F34ADF" w:rsidRPr="0060311E" w:rsidRDefault="00F34ADF" w:rsidP="00F34ADF">
            <w:pPr>
              <w:wordWrap w:val="0"/>
              <w:snapToGrid w:val="0"/>
              <w:spacing w:line="260" w:lineRule="exact"/>
              <w:rPr>
                <w:rFonts w:ascii="ＭＳ ゴシック" w:eastAsia="ＭＳ ゴシック" w:hAnsi="ＭＳ ゴシック"/>
                <w:color w:val="FF0000"/>
                <w:spacing w:val="-7"/>
                <w:sz w:val="20"/>
                <w:szCs w:val="20"/>
              </w:rPr>
            </w:pPr>
          </w:p>
        </w:tc>
        <w:tc>
          <w:tcPr>
            <w:tcW w:w="3195" w:type="pct"/>
            <w:tcBorders>
              <w:top w:val="single" w:sz="4" w:space="0" w:color="auto"/>
              <w:bottom w:val="single" w:sz="4" w:space="0" w:color="auto"/>
            </w:tcBorders>
            <w:shd w:val="clear" w:color="auto" w:fill="auto"/>
          </w:tcPr>
          <w:p w:rsidR="00F34ADF" w:rsidRPr="0060311E" w:rsidRDefault="00F34ADF" w:rsidP="00F34ADF">
            <w:pPr>
              <w:spacing w:line="260" w:lineRule="exact"/>
              <w:ind w:left="400" w:hangingChars="200" w:hanging="400"/>
              <w:rPr>
                <w:rFonts w:ascii="ＭＳ ゴシック" w:eastAsia="ＭＳ ゴシック" w:hAnsi="ＭＳ ゴシック"/>
                <w:color w:val="FF0000"/>
                <w:sz w:val="20"/>
                <w:szCs w:val="20"/>
              </w:rPr>
            </w:pPr>
            <w:r w:rsidRPr="0060311E">
              <w:rPr>
                <w:rFonts w:ascii="ＭＳ ゴシック" w:eastAsia="ＭＳ ゴシック" w:hAnsi="ＭＳ ゴシック" w:hint="eastAsia"/>
                <w:color w:val="FF0000"/>
                <w:sz w:val="20"/>
                <w:szCs w:val="20"/>
              </w:rPr>
              <w:t>(2)</w:t>
            </w:r>
            <w:r w:rsidRPr="0060311E">
              <w:rPr>
                <w:rFonts w:hint="eastAsia"/>
                <w:color w:val="FF0000"/>
              </w:rPr>
              <w:t xml:space="preserve"> </w:t>
            </w:r>
            <w:r w:rsidRPr="0060311E">
              <w:rPr>
                <w:rFonts w:ascii="ＭＳ ゴシック" w:eastAsia="ＭＳ ゴシック" w:hAnsi="ＭＳ ゴシック" w:hint="eastAsia"/>
                <w:color w:val="FF0000"/>
                <w:sz w:val="20"/>
                <w:szCs w:val="20"/>
              </w:rPr>
              <w:t>上記の基準を満たさない事実が生じた場合に、事実が生じた翌月から基準に満たない状況が解消されるに至った月まで、入所者全員について、所定単位数から100分の</w:t>
            </w:r>
            <w:r w:rsidR="00656579">
              <w:rPr>
                <w:rFonts w:ascii="ＭＳ ゴシック" w:eastAsia="ＭＳ ゴシック" w:hAnsi="ＭＳ ゴシック" w:hint="eastAsia"/>
                <w:color w:val="FF0000"/>
                <w:sz w:val="20"/>
                <w:szCs w:val="20"/>
              </w:rPr>
              <w:t>１</w:t>
            </w:r>
            <w:r w:rsidRPr="0060311E">
              <w:rPr>
                <w:rFonts w:ascii="ＭＳ ゴシック" w:eastAsia="ＭＳ ゴシック" w:hAnsi="ＭＳ ゴシック" w:hint="eastAsia"/>
                <w:color w:val="FF0000"/>
                <w:sz w:val="20"/>
                <w:szCs w:val="20"/>
              </w:rPr>
              <w:t>に相当する単位数を減算していますか。</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auto"/>
            <w:vAlign w:val="center"/>
          </w:tcPr>
          <w:p w:rsidR="00F34ADF" w:rsidRPr="000F386C" w:rsidRDefault="00F34ADF" w:rsidP="00F34ADF">
            <w:pPr>
              <w:jc w:val="center"/>
            </w:pPr>
            <w:r w:rsidRPr="000F386C">
              <w:rPr>
                <w:rFonts w:ascii="ＭＳ ゴシック" w:eastAsia="ＭＳ ゴシック" w:hAnsi="ＭＳ ゴシック" w:hint="eastAsia"/>
                <w:sz w:val="24"/>
              </w:rPr>
              <w:t>□</w:t>
            </w:r>
          </w:p>
        </w:tc>
      </w:tr>
      <w:tr w:rsidR="004512C8" w:rsidRPr="000F386C" w:rsidTr="00F34ADF">
        <w:trPr>
          <w:cantSplit/>
          <w:trHeight w:val="446"/>
        </w:trPr>
        <w:tc>
          <w:tcPr>
            <w:tcW w:w="1154" w:type="pct"/>
            <w:vMerge/>
            <w:tcBorders>
              <w:bottom w:val="single" w:sz="4" w:space="0" w:color="auto"/>
            </w:tcBorders>
            <w:shd w:val="clear" w:color="auto" w:fill="auto"/>
          </w:tcPr>
          <w:p w:rsidR="004512C8" w:rsidRPr="00A40D5B" w:rsidRDefault="004512C8" w:rsidP="004A0854">
            <w:pPr>
              <w:wordWrap w:val="0"/>
              <w:snapToGrid w:val="0"/>
              <w:spacing w:line="260" w:lineRule="exact"/>
              <w:rPr>
                <w:rFonts w:ascii="ＭＳ ゴシック" w:eastAsia="ＭＳ ゴシック" w:hAnsi="ＭＳ ゴシック"/>
                <w:color w:val="000000"/>
                <w:spacing w:val="-7"/>
                <w:sz w:val="20"/>
                <w:szCs w:val="20"/>
              </w:rPr>
            </w:pPr>
          </w:p>
        </w:tc>
        <w:tc>
          <w:tcPr>
            <w:tcW w:w="3195" w:type="pct"/>
            <w:tcBorders>
              <w:top w:val="single" w:sz="4" w:space="0" w:color="auto"/>
              <w:bottom w:val="single" w:sz="4" w:space="0" w:color="auto"/>
            </w:tcBorders>
            <w:shd w:val="clear" w:color="auto" w:fill="auto"/>
          </w:tcPr>
          <w:p w:rsidR="004512C8" w:rsidRPr="007A53E8" w:rsidRDefault="004512C8" w:rsidP="004A0854">
            <w:pPr>
              <w:spacing w:line="260" w:lineRule="exact"/>
              <w:ind w:left="300" w:hangingChars="150" w:hanging="300"/>
              <w:rPr>
                <w:rFonts w:ascii="ＭＳ ゴシック" w:eastAsia="ＭＳ ゴシック" w:hAnsi="ＭＳ ゴシック"/>
                <w:color w:val="FF0000"/>
                <w:sz w:val="20"/>
                <w:szCs w:val="20"/>
              </w:rPr>
            </w:pPr>
            <w:r w:rsidRPr="007A53E8">
              <w:rPr>
                <w:rFonts w:ascii="ＭＳ ゴシック" w:eastAsia="ＭＳ ゴシック" w:hAnsi="ＭＳ ゴシック" w:hint="eastAsia"/>
                <w:color w:val="FF0000"/>
                <w:sz w:val="20"/>
                <w:szCs w:val="20"/>
              </w:rPr>
              <w:t>※経過措置により</w:t>
            </w:r>
            <w:r>
              <w:rPr>
                <w:rFonts w:ascii="ＭＳ ゴシック" w:eastAsia="ＭＳ ゴシック" w:hAnsi="ＭＳ ゴシック" w:hint="eastAsia"/>
                <w:color w:val="FF0000"/>
                <w:sz w:val="20"/>
                <w:szCs w:val="20"/>
              </w:rPr>
              <w:t>、</w:t>
            </w:r>
            <w:r w:rsidRPr="007A53E8">
              <w:rPr>
                <w:rFonts w:ascii="ＭＳ ゴシック" w:eastAsia="ＭＳ ゴシック" w:hAnsi="ＭＳ ゴシック" w:hint="eastAsia"/>
                <w:color w:val="FF0000"/>
                <w:sz w:val="20"/>
                <w:szCs w:val="20"/>
              </w:rPr>
              <w:t>令和7年3月31 日までの間は、感染症の予防及びまん延の防止のための指針及び非常災害に関する具体的計画を策定している場合には、当該減算は適用しない</w:t>
            </w:r>
          </w:p>
        </w:tc>
        <w:tc>
          <w:tcPr>
            <w:tcW w:w="218" w:type="pct"/>
            <w:tcBorders>
              <w:bottom w:val="single" w:sz="4" w:space="0" w:color="auto"/>
            </w:tcBorders>
            <w:shd w:val="clear" w:color="auto" w:fill="auto"/>
            <w:textDirection w:val="tbRlV"/>
            <w:vAlign w:val="center"/>
          </w:tcPr>
          <w:p w:rsidR="004512C8" w:rsidRPr="00A40D5B" w:rsidRDefault="004512C8" w:rsidP="004A0854">
            <w:pPr>
              <w:ind w:left="113" w:right="113"/>
              <w:rPr>
                <w:rFonts w:ascii="ＭＳ ゴシック" w:eastAsia="ＭＳ ゴシック" w:hAnsi="ＭＳ ゴシック"/>
                <w:color w:val="000000"/>
                <w:sz w:val="20"/>
                <w:szCs w:val="20"/>
              </w:rPr>
            </w:pPr>
          </w:p>
        </w:tc>
        <w:tc>
          <w:tcPr>
            <w:tcW w:w="218" w:type="pct"/>
            <w:tcBorders>
              <w:bottom w:val="single" w:sz="4" w:space="0" w:color="auto"/>
            </w:tcBorders>
            <w:shd w:val="clear" w:color="auto" w:fill="auto"/>
            <w:textDirection w:val="tbRlV"/>
            <w:vAlign w:val="center"/>
          </w:tcPr>
          <w:p w:rsidR="004512C8" w:rsidRPr="00A40D5B" w:rsidRDefault="004512C8" w:rsidP="004A0854">
            <w:pPr>
              <w:ind w:left="113" w:right="113"/>
              <w:rPr>
                <w:rFonts w:ascii="ＭＳ ゴシック" w:eastAsia="ＭＳ ゴシック" w:hAnsi="ＭＳ ゴシック"/>
                <w:color w:val="000000"/>
                <w:sz w:val="20"/>
                <w:szCs w:val="20"/>
              </w:rPr>
            </w:pPr>
          </w:p>
        </w:tc>
        <w:tc>
          <w:tcPr>
            <w:tcW w:w="215" w:type="pct"/>
            <w:tcBorders>
              <w:bottom w:val="single" w:sz="4" w:space="0" w:color="auto"/>
            </w:tcBorders>
            <w:shd w:val="clear" w:color="auto" w:fill="auto"/>
            <w:textDirection w:val="tbRlV"/>
            <w:vAlign w:val="center"/>
          </w:tcPr>
          <w:p w:rsidR="004512C8" w:rsidRPr="00A40D5B" w:rsidRDefault="004512C8" w:rsidP="004A0854">
            <w:pPr>
              <w:spacing w:line="340" w:lineRule="exact"/>
              <w:ind w:left="113" w:right="113"/>
              <w:rPr>
                <w:rFonts w:ascii="ＭＳ ゴシック" w:eastAsia="ＭＳ ゴシック" w:hAnsi="ＭＳ ゴシック"/>
                <w:color w:val="000000"/>
                <w:sz w:val="20"/>
                <w:szCs w:val="20"/>
              </w:rPr>
            </w:pPr>
          </w:p>
        </w:tc>
      </w:tr>
      <w:tr w:rsidR="004A0854" w:rsidRPr="000F386C" w:rsidTr="00810036">
        <w:trPr>
          <w:cantSplit/>
          <w:trHeight w:val="446"/>
        </w:trPr>
        <w:tc>
          <w:tcPr>
            <w:tcW w:w="1154" w:type="pct"/>
            <w:tcBorders>
              <w:top w:val="single"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定員超過利用に該当する場合の所定単位数の算定について</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当該事業所の利用定員を上回る利用者を利用させているいわゆる定員超過利用に対し、介護給付費の減額を行うこととし、通所介護等の算定方法において、定員超過利用の基準及び単位数の算定方法を明らかにしているところであるが、適正なサービスの提供を確保するための規定であり、定員超過利用の未然防止を図るよう努めるものとする。</w:t>
            </w:r>
          </w:p>
        </w:tc>
        <w:tc>
          <w:tcPr>
            <w:tcW w:w="218" w:type="pct"/>
            <w:tcBorders>
              <w:bottom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bottom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bottom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86379E">
        <w:trPr>
          <w:cantSplit/>
          <w:trHeight w:val="446"/>
        </w:trPr>
        <w:tc>
          <w:tcPr>
            <w:tcW w:w="1154" w:type="pct"/>
            <w:tcBorders>
              <w:top w:val="nil"/>
              <w:bottom w:val="nil"/>
            </w:tcBorders>
            <w:shd w:val="clear" w:color="auto" w:fill="auto"/>
          </w:tcPr>
          <w:p w:rsidR="004A0854" w:rsidRPr="000F386C" w:rsidRDefault="004A0854" w:rsidP="004A0854">
            <w:pPr>
              <w:ind w:firstLineChars="100" w:firstLine="180"/>
              <w:rPr>
                <w:rFonts w:ascii="ＭＳ ゴシック" w:eastAsia="ＭＳ ゴシック" w:hAnsi="ＭＳ ゴシック"/>
                <w:sz w:val="18"/>
                <w:szCs w:val="18"/>
              </w:rPr>
            </w:pPr>
          </w:p>
        </w:tc>
        <w:tc>
          <w:tcPr>
            <w:tcW w:w="3195" w:type="pct"/>
            <w:tcBorders>
              <w:top w:val="single" w:sz="4" w:space="0" w:color="auto"/>
              <w:bottom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当該減算における利用者の数は、1月間（歴月）の利用者の数の平均を用いていますか。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当該月の全利用者等の延数を、当該月の日数で除して得た数の小数点以下を切り上げるものとする。</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86379E">
        <w:trPr>
          <w:cantSplit/>
          <w:trHeight w:val="446"/>
        </w:trPr>
        <w:tc>
          <w:tcPr>
            <w:tcW w:w="1154" w:type="pct"/>
            <w:tcBorders>
              <w:top w:val="nil"/>
              <w:bottom w:val="nil"/>
            </w:tcBorders>
            <w:shd w:val="clear" w:color="auto" w:fill="auto"/>
          </w:tcPr>
          <w:p w:rsidR="004A0854" w:rsidRPr="000F386C" w:rsidRDefault="004A0854" w:rsidP="004A0854">
            <w:pPr>
              <w:ind w:firstLineChars="100" w:firstLine="180"/>
              <w:rPr>
                <w:rFonts w:ascii="ＭＳ ゴシック" w:eastAsia="ＭＳ ゴシック" w:hAnsi="ＭＳ ゴシック"/>
                <w:sz w:val="18"/>
                <w:szCs w:val="18"/>
              </w:rPr>
            </w:pPr>
          </w:p>
        </w:tc>
        <w:tc>
          <w:tcPr>
            <w:tcW w:w="3195" w:type="pct"/>
            <w:tcBorders>
              <w:top w:val="single" w:sz="4" w:space="0" w:color="auto"/>
              <w:bottom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定員超過利用の基準に該当することとなった事業所については、その翌月から定員超過利用が解消されるに至った月まで、利用者の全員について減算し、定員超過利用が解消されるに至った月の翌月から通常の所定単位数を算定していますか。</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86379E">
        <w:trPr>
          <w:cantSplit/>
          <w:trHeight w:val="446"/>
        </w:trPr>
        <w:tc>
          <w:tcPr>
            <w:tcW w:w="1154" w:type="pct"/>
            <w:tcBorders>
              <w:top w:val="nil"/>
              <w:bottom w:val="single" w:sz="4" w:space="0" w:color="auto"/>
            </w:tcBorders>
            <w:shd w:val="clear" w:color="auto" w:fill="auto"/>
          </w:tcPr>
          <w:p w:rsidR="004A0854" w:rsidRPr="000F386C" w:rsidRDefault="004A0854" w:rsidP="004A0854">
            <w:pPr>
              <w:ind w:firstLineChars="100" w:firstLine="180"/>
              <w:rPr>
                <w:rFonts w:ascii="ＭＳ ゴシック" w:eastAsia="ＭＳ ゴシック" w:hAnsi="ＭＳ ゴシック"/>
                <w:sz w:val="18"/>
                <w:szCs w:val="18"/>
              </w:rPr>
            </w:pPr>
          </w:p>
        </w:tc>
        <w:tc>
          <w:tcPr>
            <w:tcW w:w="3195" w:type="pct"/>
            <w:tcBorders>
              <w:top w:val="single" w:sz="4" w:space="0" w:color="auto"/>
              <w:bottom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っていますか。</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F523AF">
        <w:trPr>
          <w:cantSplit/>
          <w:trHeight w:val="446"/>
        </w:trPr>
        <w:tc>
          <w:tcPr>
            <w:tcW w:w="1154" w:type="pct"/>
            <w:tcBorders>
              <w:top w:val="single"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人員基準欠如に該当する場合の所定単位数の算定について</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人員基準上満たすべき職員の員数を算定する際の利用者数等は、当該年度の前年度（毎年４月１日に始まり翌年３月31日をもって終わる年度とする）の平均（新規開設又は再開の場合は推定数）を用い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利用者数等の平均は、前年度の全利用者等の延数を当該前年度の日数で除して得た数の小数点第２位以下を切り上げるものとする。</w:t>
            </w:r>
          </w:p>
        </w:tc>
        <w:tc>
          <w:tcPr>
            <w:tcW w:w="218" w:type="pct"/>
            <w:tcBorders>
              <w:top w:val="single" w:sz="4" w:space="0" w:color="auto"/>
              <w:bottom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446"/>
        </w:trPr>
        <w:tc>
          <w:tcPr>
            <w:tcW w:w="1154" w:type="pct"/>
            <w:tcBorders>
              <w:top w:val="nil"/>
              <w:bottom w:val="dashSmallGap" w:sz="4" w:space="0" w:color="auto"/>
            </w:tcBorders>
            <w:shd w:val="clear" w:color="auto" w:fill="auto"/>
          </w:tcPr>
          <w:p w:rsidR="004A0854" w:rsidRPr="000F386C" w:rsidRDefault="004A0854" w:rsidP="004A0854">
            <w:pPr>
              <w:ind w:firstLineChars="100" w:firstLine="180"/>
              <w:rPr>
                <w:rFonts w:ascii="ＭＳ ゴシック" w:eastAsia="ＭＳ ゴシック" w:hAnsi="ＭＳ ゴシック"/>
                <w:sz w:val="18"/>
                <w:szCs w:val="18"/>
              </w:rPr>
            </w:pPr>
          </w:p>
        </w:tc>
        <w:tc>
          <w:tcPr>
            <w:tcW w:w="3195" w:type="pct"/>
            <w:tcBorders>
              <w:top w:val="single" w:sz="4" w:space="0" w:color="auto"/>
              <w:bottom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介護職員の数は、利用者数及び提供時間数から算出する勤務延時間数を用いていますか。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配置された職員の１月の勤務延時間数を、当該月において本来確保すべき勤務延時間数で除して得た数とする。</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9107EC">
        <w:trPr>
          <w:cantSplit/>
          <w:trHeight w:val="446"/>
        </w:trPr>
        <w:tc>
          <w:tcPr>
            <w:tcW w:w="1154" w:type="pct"/>
            <w:tcBorders>
              <w:top w:val="dashSmallGap"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（１割を超えて減少した場合）</w:t>
            </w:r>
          </w:p>
        </w:tc>
        <w:tc>
          <w:tcPr>
            <w:tcW w:w="3195" w:type="pct"/>
            <w:tcBorders>
              <w:top w:val="single" w:sz="4" w:space="0" w:color="auto"/>
              <w:bottom w:val="dotted"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人員基準上必要とされる員数から１割を超えて減少した場合は、その翌月から人員基準欠如が解消されるに至った月まで、利用者全員について100分の70に相当する単位数を算定していますか。</w:t>
            </w:r>
          </w:p>
        </w:tc>
        <w:tc>
          <w:tcPr>
            <w:tcW w:w="218" w:type="pct"/>
            <w:tcBorders>
              <w:bottom w:val="dotted"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dotted"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dotted"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9107EC">
        <w:trPr>
          <w:cantSplit/>
          <w:trHeight w:val="446"/>
        </w:trPr>
        <w:tc>
          <w:tcPr>
            <w:tcW w:w="1154" w:type="pct"/>
            <w:tcBorders>
              <w:top w:val="dashSmallGap"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lastRenderedPageBreak/>
              <w:t>（１割の範囲内で減少した場合）</w:t>
            </w:r>
          </w:p>
        </w:tc>
        <w:tc>
          <w:tcPr>
            <w:tcW w:w="3195" w:type="pct"/>
            <w:tcBorders>
              <w:top w:val="single" w:sz="4" w:space="0" w:color="auto"/>
              <w:bottom w:val="dotted"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人員基準上必要とされる員数から１割の範囲内で減少した場合は、その翌々月から人員基準欠如が解消されるに至った月まで、利用者全員について100分の70に相当する単位数を算定していますか。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翌月の末日において人員基準を満たすに至っている場合を除く。</w:t>
            </w:r>
          </w:p>
        </w:tc>
        <w:tc>
          <w:tcPr>
            <w:tcW w:w="218" w:type="pct"/>
            <w:tcBorders>
              <w:bottom w:val="dotted"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dotted"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dotted" w:sz="4" w:space="0" w:color="auto"/>
            </w:tcBorders>
            <w:shd w:val="clear" w:color="auto" w:fill="FFFFFF" w:themeFill="background1"/>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810036">
        <w:trPr>
          <w:cantSplit/>
          <w:trHeight w:val="183"/>
        </w:trPr>
        <w:tc>
          <w:tcPr>
            <w:tcW w:w="1154" w:type="pct"/>
            <w:vMerge w:val="restart"/>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２時間以上３時間未満の認知症対応型通所介護を行う場合の取扱い</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心身の状況から、長時間のサービス利用が困難である者、病後等で短時間の利用から始めて長時間利用に結び付けていく必要がある者など、利用者のやむを得ない事情により長時間のサービス利用が困難な者である利用者の場合のみと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810036">
        <w:trPr>
          <w:cantSplit/>
          <w:trHeight w:val="287"/>
        </w:trPr>
        <w:tc>
          <w:tcPr>
            <w:tcW w:w="1154" w:type="pct"/>
            <w:vMerge/>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算定は４時間以上５時間未満の単位の100分63に相当する単位数を算定していますか。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810036">
        <w:trPr>
          <w:cantSplit/>
          <w:trHeight w:val="974"/>
        </w:trPr>
        <w:tc>
          <w:tcPr>
            <w:tcW w:w="1154" w:type="pct"/>
            <w:vMerge/>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時間以上３時間未満の認知症対応型通所介護であっても、認知症対応型通所介護の本来の目的に照らし、単に入浴サービスのみといった利用は適当ではなく、利用者の日常生活動作能力などの向上のため、日常生活を通じた機能訓練等が実施され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194CF8">
        <w:trPr>
          <w:cantSplit/>
          <w:trHeight w:val="70"/>
        </w:trPr>
        <w:tc>
          <w:tcPr>
            <w:tcW w:w="1154" w:type="pct"/>
            <w:tcBorders>
              <w:top w:val="nil"/>
              <w:bottom w:val="single"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単に入浴サービスのみといった利用となっていませんか。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194CF8">
        <w:trPr>
          <w:cantSplit/>
          <w:trHeight w:val="936"/>
        </w:trPr>
        <w:tc>
          <w:tcPr>
            <w:tcW w:w="1154" w:type="pct"/>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感染症又は災害の発生を理由とする利用者の減少が生じた場合の取扱い</w:t>
            </w: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jc w:val="lef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感染症又は災害（厚生労働大臣が認めるものに限る。）の発生を理由とする利用者数の減少が生じ、当該月の利用者数の実績が当該月の前年度における月平均の利用者数よりも100分の５以上減少している場合に、市に届け出た事業所において、サービスを行った場合には、利用者数が減少した月の翌々月から３月以内に限り、１回につき所定単位数の100分の３に相当する単位数を所定単位数に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0C4CCF">
        <w:trPr>
          <w:cantSplit/>
          <w:trHeight w:val="814"/>
        </w:trPr>
        <w:tc>
          <w:tcPr>
            <w:tcW w:w="1154" w:type="pct"/>
            <w:tcBorders>
              <w:top w:val="nil"/>
              <w:bottom w:val="single"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jc w:val="lef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利用者数の減少に対応するための経営改善に時間を要することその他の特別の事情があると認められる場合は、当該加算の期間が終了した月の翌月から３月以内に限り、引き続き算定していますか。</w:t>
            </w:r>
          </w:p>
          <w:p w:rsidR="004A0854" w:rsidRPr="000F386C" w:rsidRDefault="004A0854" w:rsidP="004A0854">
            <w:pPr>
              <w:jc w:val="lef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引き続き算定する場合も、市に届出ていますか。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0C4CCF">
        <w:trPr>
          <w:cantSplit/>
          <w:trHeight w:val="592"/>
        </w:trPr>
        <w:tc>
          <w:tcPr>
            <w:tcW w:w="1154" w:type="pct"/>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延長加算</w:t>
            </w:r>
          </w:p>
          <w:p w:rsidR="004A0854" w:rsidRPr="000F386C" w:rsidRDefault="004A0854" w:rsidP="004A0854">
            <w:pPr>
              <w:ind w:left="360" w:hangingChars="200" w:hanging="36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日常生活上の世話を行った後に引き続き所要時間８時間以上９時間未満の認知症対応型通所介護を行った場合又は所要時間８時間以上９時間未満の認知症対応型通所介護を行った後に引き続き日常生活上の世話を行った場合であって、当該認知症対応型通所介護の所要時間と当該認知症対応型通所介護の前後に行った日常生活上の世話の所要時間を通算した時間が９時間以上となった場合は、区分に応じた所定単位数を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0C4CCF">
        <w:trPr>
          <w:cantSplit/>
          <w:trHeight w:val="85"/>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延長時間は５時間を限度していますか。</w:t>
            </w:r>
          </w:p>
        </w:tc>
        <w:tc>
          <w:tcPr>
            <w:tcW w:w="218" w:type="pct"/>
            <w:tcBorders>
              <w:top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0C4CCF">
        <w:trPr>
          <w:cantSplit/>
          <w:trHeight w:val="70"/>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当該事業所の実情に応じて、適当数の従業者を配置していますか。</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0C4CCF">
        <w:trPr>
          <w:cantSplit/>
          <w:trHeight w:val="70"/>
        </w:trPr>
        <w:tc>
          <w:tcPr>
            <w:tcW w:w="1154" w:type="pct"/>
            <w:tcBorders>
              <w:top w:val="nil"/>
              <w:bottom w:val="single" w:sz="4" w:space="0" w:color="auto"/>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当該事業所の利用者が、当該事業所を利用した後に、引き続き当該事業所の設備を利用して宿泊する場合や、宿泊した翌日において当該事業所の認知症対応型通所介護の提供を受ける場合は、延長加算を算定していませんか。</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0C4CCF">
        <w:trPr>
          <w:cantSplit/>
          <w:trHeight w:val="70"/>
        </w:trPr>
        <w:tc>
          <w:tcPr>
            <w:tcW w:w="1154" w:type="pct"/>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入浴介助加算（Ⅰ・Ⅱ共通）</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bottom w:val="single" w:sz="4" w:space="0" w:color="auto"/>
            </w:tcBorders>
            <w:vAlign w:val="center"/>
          </w:tcPr>
          <w:p w:rsidR="004A0854" w:rsidRDefault="004A0854" w:rsidP="004A0854">
            <w:pPr>
              <w:pStyle w:val="affc"/>
              <w:numPr>
                <w:ilvl w:val="0"/>
                <w:numId w:val="28"/>
              </w:numPr>
              <w:ind w:leftChars="0"/>
              <w:rPr>
                <w:rFonts w:ascii="ＭＳ ゴシック" w:eastAsia="ＭＳ ゴシック" w:hAnsi="ＭＳ ゴシック"/>
                <w:color w:val="FF0000"/>
                <w:sz w:val="18"/>
                <w:szCs w:val="18"/>
              </w:rPr>
            </w:pPr>
            <w:r w:rsidRPr="006F0BF3">
              <w:rPr>
                <w:rFonts w:ascii="ＭＳ ゴシック" w:eastAsia="ＭＳ ゴシック" w:hAnsi="ＭＳ ゴシック" w:hint="eastAsia"/>
                <w:color w:val="FF0000"/>
                <w:sz w:val="18"/>
                <w:szCs w:val="18"/>
              </w:rPr>
              <w:t>入浴介助を適切に行うことができる人員及び設備を有して行われる入浴介助であること</w:t>
            </w:r>
            <w:r>
              <w:rPr>
                <w:rFonts w:ascii="ＭＳ ゴシック" w:eastAsia="ＭＳ ゴシック" w:hAnsi="ＭＳ ゴシック" w:hint="eastAsia"/>
                <w:color w:val="FF0000"/>
                <w:sz w:val="18"/>
                <w:szCs w:val="18"/>
              </w:rPr>
              <w:t>。</w:t>
            </w:r>
          </w:p>
          <w:p w:rsidR="004A0854" w:rsidRDefault="004A0854" w:rsidP="004A0854">
            <w:pPr>
              <w:pStyle w:val="affc"/>
              <w:numPr>
                <w:ilvl w:val="0"/>
                <w:numId w:val="28"/>
              </w:numPr>
              <w:ind w:leftChars="0"/>
              <w:rPr>
                <w:rFonts w:ascii="ＭＳ ゴシック" w:eastAsia="ＭＳ ゴシック" w:hAnsi="ＭＳ ゴシック"/>
                <w:color w:val="FF0000"/>
                <w:sz w:val="18"/>
                <w:szCs w:val="18"/>
              </w:rPr>
            </w:pPr>
            <w:r w:rsidRPr="006F0BF3">
              <w:rPr>
                <w:rFonts w:ascii="ＭＳ ゴシック" w:eastAsia="ＭＳ ゴシック" w:hAnsi="ＭＳ ゴシック" w:hint="eastAsia"/>
                <w:color w:val="FF0000"/>
                <w:sz w:val="18"/>
                <w:szCs w:val="18"/>
              </w:rPr>
              <w:t>入浴介助に関わる職員に対し、入浴介助に関する研修等を行うこと。</w:t>
            </w:r>
          </w:p>
          <w:p w:rsidR="004A0854" w:rsidRDefault="004A0854" w:rsidP="004A0854">
            <w:pPr>
              <w:pStyle w:val="affc"/>
              <w:ind w:leftChars="0" w:left="540"/>
              <w:rPr>
                <w:rFonts w:ascii="ＭＳ ゴシック" w:eastAsia="ＭＳ ゴシック" w:hAnsi="ＭＳ ゴシック"/>
                <w:color w:val="FF0000"/>
                <w:sz w:val="18"/>
                <w:szCs w:val="18"/>
              </w:rPr>
            </w:pPr>
            <w:r w:rsidRPr="006F0BF3">
              <w:rPr>
                <w:rFonts w:ascii="ＭＳ ゴシック" w:eastAsia="ＭＳ ゴシック" w:hAnsi="ＭＳ ゴシック" w:hint="eastAsia"/>
                <w:color w:val="FF0000"/>
                <w:sz w:val="18"/>
                <w:szCs w:val="18"/>
              </w:rPr>
              <w:t>①②いずれの要件も満たした場合に１日につき次に掲げる所定単位数に加算していますか。</w:t>
            </w:r>
          </w:p>
          <w:p w:rsidR="004A0854" w:rsidRDefault="004A0854" w:rsidP="004A085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※入浴介助に関する研修とは内部研修・外部研修を問わず、入浴介助技術の向上を図るものであること（Q＆Av</w:t>
            </w:r>
            <w:r>
              <w:rPr>
                <w:rFonts w:ascii="ＭＳ ゴシック" w:eastAsia="ＭＳ ゴシック" w:hAnsi="ＭＳ ゴシック"/>
                <w:color w:val="FF0000"/>
                <w:sz w:val="18"/>
                <w:szCs w:val="18"/>
              </w:rPr>
              <w:t>ol.</w:t>
            </w:r>
            <w:r>
              <w:rPr>
                <w:rFonts w:ascii="ＭＳ ゴシック" w:eastAsia="ＭＳ ゴシック" w:hAnsi="ＭＳ ゴシック" w:hint="eastAsia"/>
                <w:color w:val="FF0000"/>
                <w:sz w:val="18"/>
                <w:szCs w:val="18"/>
              </w:rPr>
              <w:t>1）</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次に掲げるいずれかの加算を算定している場合においては、次に掲げるその他の加算は算定しない。</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入浴介助加算（Ⅰ）　40単位</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入浴介助加算（Ⅱ）　55単位</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2135E">
        <w:trPr>
          <w:cantSplit/>
          <w:trHeight w:val="501"/>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入浴中の利用者の観察（自立生活支援のための見守り的援助）を含む介助を行う場合に算定していますか。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dashSmallGap"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認知症対応型通所介護計画上、入浴の提供が位置付けられている場合に、利用者側の事情により、入浴を実施しなかった場合については、加算を算定していませんか。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実施できなかった理由等を記録しておくことが望ましい。</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入浴介助加算（Ⅱ）</w:t>
            </w:r>
          </w:p>
        </w:tc>
        <w:tc>
          <w:tcPr>
            <w:tcW w:w="3195" w:type="pct"/>
            <w:tcBorders>
              <w:top w:val="single" w:sz="4" w:space="0" w:color="auto"/>
              <w:bottom w:val="dotted"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が居宅において、自身で又は家族若しくは居宅で入浴介助を行うことが想定される訪問介護員等（以下、「家族・訪問介護員等」という。）の介助によって入浴ができるようになることを目的とし、次のａ～ｃを実施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者の状態に応じ、自身で又は家族・訪問介護員等の介助により尊厳を保持しつつ入浴ができるようになるためには、どのような介護技術を用いて行うことが適切であるかを念頭に置いた上で実施すること。</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vAlign w:val="center"/>
          </w:tcPr>
          <w:p w:rsidR="004A0854" w:rsidRPr="000F386C" w:rsidRDefault="004A0854" w:rsidP="004A0854">
            <w:pPr>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t>a</w:t>
            </w:r>
            <w:r w:rsidRPr="000F386C">
              <w:rPr>
                <w:rFonts w:ascii="ＭＳ ゴシック" w:eastAsia="ＭＳ ゴシック" w:hAnsi="ＭＳ ゴシック" w:hint="eastAsia"/>
                <w:sz w:val="18"/>
                <w:szCs w:val="18"/>
              </w:rPr>
              <w:t xml:space="preserve">　医師、理学療法士、作業療法士、介護福祉士、</w:t>
            </w:r>
            <w:r w:rsidRPr="00663B9E">
              <w:rPr>
                <w:rFonts w:ascii="ＭＳ ゴシック" w:eastAsia="ＭＳ ゴシック" w:hAnsi="ＭＳ ゴシック" w:hint="eastAsia"/>
                <w:color w:val="FF0000"/>
                <w:sz w:val="18"/>
                <w:szCs w:val="18"/>
              </w:rPr>
              <w:t>若しくは介護支援専門員又は利用者の動作及び浴室の環境の評価を行うことができる福祉用具専門相談員（介護保険法施行令（平成十年政令第四百十二号）第四条第一項に規定する福祉用具専門相談員をいう。以下同じ。）、機能訓練指導員、地域包括支援センターの職員その他住宅改修に関する専門的知識及び経験を有する者</w:t>
            </w:r>
            <w:r>
              <w:rPr>
                <w:rFonts w:ascii="ＭＳ ゴシック" w:eastAsia="ＭＳ ゴシック" w:hAnsi="ＭＳ ゴシック" w:hint="eastAsia"/>
                <w:color w:val="FF0000"/>
                <w:sz w:val="18"/>
                <w:szCs w:val="18"/>
              </w:rPr>
              <w:t>（福祉・住環境コーディネーター２級以上の者を想定（Q＆Av</w:t>
            </w:r>
            <w:r>
              <w:rPr>
                <w:rFonts w:ascii="ＭＳ ゴシック" w:eastAsia="ＭＳ ゴシック" w:hAnsi="ＭＳ ゴシック"/>
                <w:color w:val="FF0000"/>
                <w:sz w:val="18"/>
                <w:szCs w:val="18"/>
              </w:rPr>
              <w:t>ol.</w:t>
            </w:r>
            <w:r>
              <w:rPr>
                <w:rFonts w:ascii="ＭＳ ゴシック" w:eastAsia="ＭＳ ゴシック" w:hAnsi="ＭＳ ゴシック" w:hint="eastAsia"/>
                <w:color w:val="FF0000"/>
                <w:sz w:val="18"/>
                <w:szCs w:val="18"/>
              </w:rPr>
              <w:t>1））</w:t>
            </w:r>
            <w:r w:rsidRPr="000F386C">
              <w:rPr>
                <w:rFonts w:ascii="ＭＳ ゴシック" w:eastAsia="ＭＳ ゴシック" w:hAnsi="ＭＳ ゴシック" w:hint="eastAsia"/>
                <w:sz w:val="18"/>
                <w:szCs w:val="18"/>
              </w:rPr>
              <w:t>が利用者の居宅を訪問（個別機能訓練加算を取得するにあたっての訪問等を含む。）し、利用者の状態をふまえ、浴室における当該利用者の動作及び浴室の環境を評価</w:t>
            </w:r>
            <w:r>
              <w:rPr>
                <w:rFonts w:ascii="ＭＳ ゴシック" w:eastAsia="ＭＳ ゴシック" w:hAnsi="ＭＳ ゴシック" w:hint="eastAsia"/>
                <w:sz w:val="18"/>
                <w:szCs w:val="18"/>
              </w:rPr>
              <w:t>し</w:t>
            </w:r>
            <w:r w:rsidRPr="00663B9E">
              <w:rPr>
                <w:rFonts w:ascii="ＭＳ ゴシック" w:eastAsia="ＭＳ ゴシック" w:hAnsi="ＭＳ ゴシック" w:hint="eastAsia"/>
                <w:color w:val="FF0000"/>
                <w:sz w:val="18"/>
                <w:szCs w:val="18"/>
              </w:rPr>
              <w:t>、かつ、</w:t>
            </w:r>
            <w:r w:rsidRPr="000F386C">
              <w:rPr>
                <w:rFonts w:ascii="ＭＳ ゴシック" w:eastAsia="ＭＳ ゴシック" w:hAnsi="ＭＳ ゴシック" w:hint="eastAsia"/>
                <w:sz w:val="18"/>
                <w:szCs w:val="18"/>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r w:rsidRPr="00663B9E">
              <w:rPr>
                <w:rFonts w:ascii="ＭＳ ゴシック" w:eastAsia="ＭＳ ゴシック" w:hAnsi="ＭＳ ゴシック" w:hint="eastAsia"/>
                <w:color w:val="FF0000"/>
                <w:sz w:val="18"/>
                <w:szCs w:val="18"/>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その際、当該利用者の居宅を訪問し評価した者が、入浴に係る適切な介護技術に基づいて、利用者の動作を踏まえ、利用者自身で又は家族・訪問介護員等の介助により入浴を行うことが可能であると判断した場合、指定認知症対応型通所介護事業所に対しその旨情報共有する。また、当該利用者の居宅を訪問し評価した者が、指定認知症対応型通所介護事業所の従業者以外の者である場合は、書面等を活用し、十分な情報共有を行うよう留意すること。</w:t>
            </w:r>
          </w:p>
          <w:p w:rsidR="004A0854" w:rsidRPr="000F386C" w:rsidRDefault="004A0854" w:rsidP="004A0854">
            <w:pPr>
              <w:ind w:left="180" w:hangingChars="100" w:hanging="180"/>
              <w:rPr>
                <w:rFonts w:ascii="ＭＳ ゴシック" w:eastAsia="ＭＳ ゴシック" w:hAnsi="ＭＳ ゴシック"/>
                <w:sz w:val="18"/>
                <w:szCs w:val="18"/>
              </w:rPr>
            </w:pP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vAlign w:val="center"/>
          </w:tcPr>
          <w:p w:rsidR="004A0854" w:rsidRPr="000F386C" w:rsidRDefault="004A0854" w:rsidP="004A0854">
            <w:pPr>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t>b</w:t>
            </w:r>
            <w:r w:rsidRPr="000F386C">
              <w:rPr>
                <w:rFonts w:ascii="ＭＳ ゴシック" w:eastAsia="ＭＳ ゴシック" w:hAnsi="ＭＳ ゴシック" w:hint="eastAsia"/>
                <w:sz w:val="18"/>
                <w:szCs w:val="18"/>
              </w:rPr>
              <w:t xml:space="preserve">　指定認知症対応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w:t>
            </w:r>
            <w:r w:rsidRPr="00631D2C">
              <w:rPr>
                <w:rFonts w:ascii="ＭＳ ゴシック" w:eastAsia="ＭＳ ゴシック" w:hAnsi="ＭＳ ゴシック" w:hint="eastAsia"/>
                <w:color w:val="FF0000"/>
                <w:sz w:val="18"/>
                <w:szCs w:val="18"/>
              </w:rPr>
              <w:t>ただし、</w:t>
            </w:r>
            <w:r w:rsidRPr="00CD2089">
              <w:rPr>
                <w:rFonts w:ascii="ＭＳ ゴシック" w:eastAsia="ＭＳ ゴシック" w:hAnsi="ＭＳ ゴシック" w:hint="eastAsia"/>
                <w:color w:val="FF0000"/>
                <w:sz w:val="18"/>
                <w:szCs w:val="18"/>
              </w:rPr>
              <w:t>個別の入浴計画に相当する内容を通所介護計画に記載することをもって、個別の入浴計画の作成に代えることができる。</w:t>
            </w: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9107EC">
        <w:trPr>
          <w:cantSplit/>
          <w:trHeight w:val="266"/>
        </w:trPr>
        <w:tc>
          <w:tcPr>
            <w:tcW w:w="1154" w:type="pct"/>
            <w:tcBorders>
              <w:top w:val="nil"/>
              <w:bottom w:val="single"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single" w:sz="4" w:space="0" w:color="auto"/>
            </w:tcBorders>
            <w:vAlign w:val="center"/>
          </w:tcPr>
          <w:p w:rsidR="004A0854" w:rsidRPr="000F386C" w:rsidRDefault="004A0854" w:rsidP="004A0854">
            <w:pPr>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t>c b</w:t>
            </w:r>
            <w:r w:rsidRPr="000F386C">
              <w:rPr>
                <w:rFonts w:ascii="ＭＳ ゴシック" w:eastAsia="ＭＳ ゴシック" w:hAnsi="ＭＳ ゴシック" w:hint="eastAsia"/>
                <w:sz w:val="18"/>
                <w:szCs w:val="18"/>
              </w:rPr>
              <w:t>の入浴計画に基づき、個浴</w:t>
            </w:r>
            <w:r w:rsidRPr="00A155D9">
              <w:rPr>
                <w:rFonts w:ascii="ＭＳ ゴシック" w:eastAsia="ＭＳ ゴシック" w:hAnsi="ＭＳ ゴシック" w:hint="eastAsia"/>
                <w:color w:val="FF0000"/>
                <w:sz w:val="18"/>
                <w:szCs w:val="18"/>
              </w:rPr>
              <w:t>又は</w:t>
            </w:r>
            <w:r w:rsidRPr="000F386C">
              <w:rPr>
                <w:rFonts w:ascii="ＭＳ ゴシック" w:eastAsia="ＭＳ ゴシック" w:hAnsi="ＭＳ ゴシック" w:hint="eastAsia"/>
                <w:sz w:val="18"/>
                <w:szCs w:val="18"/>
              </w:rPr>
              <w:t>利用者の居宅の状況に近い環境</w:t>
            </w:r>
            <w:r w:rsidRPr="00A155D9">
              <w:rPr>
                <w:rFonts w:ascii="ＭＳ ゴシック" w:eastAsia="ＭＳ ゴシック" w:hAnsi="ＭＳ ゴシック" w:hint="eastAsia"/>
                <w:color w:val="FF0000"/>
                <w:sz w:val="18"/>
                <w:szCs w:val="18"/>
              </w:rPr>
              <w:t>（利用者の居宅の浴室の手すりの位置や、使用する浴槽の深さ及び高さ等に合わせて、当該事業所の浴室に福祉用具等を設置することにより、利用者の居宅の浴室の状況を再現しているものをいう。）で、入浴介助を行うこと。</w:t>
            </w: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B2B6C">
        <w:trPr>
          <w:cantSplit/>
          <w:trHeight w:val="266"/>
        </w:trPr>
        <w:tc>
          <w:tcPr>
            <w:tcW w:w="1154" w:type="pct"/>
            <w:tcBorders>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生活機能向上連携加算（Ⅰ・Ⅱ共通）</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外部との連携により、利用者の身体の状況等の評価を行い、かつ、個別機能訓練計画を作成した場合、（１）については、利用者の急性増悪等により当該個別機能訓練計画を見直した場合を除き３月に１回を限度として、１月につき、（２）については１月につき、次に掲げる単位数を所定単位数に加算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次に掲げるいずれかの加算を算定している場合においては、次に掲げるその他の加算は算定しない。</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　生活機能向上連携加算(Ⅰ)　100単位</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　生活機能向上連携加算(Ⅱ)　200単位</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49403A">
        <w:trPr>
          <w:cantSplit/>
          <w:trHeight w:val="2961"/>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lastRenderedPageBreak/>
              <w:t>生活機能向上連携加算（Ⅰ）</w:t>
            </w:r>
          </w:p>
        </w:tc>
        <w:tc>
          <w:tcPr>
            <w:tcW w:w="3195" w:type="pct"/>
            <w:tcBorders>
              <w:top w:val="single" w:sz="4" w:space="0" w:color="auto"/>
              <w:bottom w:val="dotted" w:sz="4" w:space="0" w:color="auto"/>
            </w:tcBorders>
            <w:vAlign w:val="center"/>
          </w:tcPr>
          <w:p w:rsidR="004A0854" w:rsidRPr="000F386C" w:rsidRDefault="004A0854" w:rsidP="004A0854">
            <w:pPr>
              <w:ind w:leftChars="-6" w:left="-13" w:firstLineChars="6" w:firstLine="11"/>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　指定訪問リハビリテーション事業所又は指定通所リハビリテーション事業所若しく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理学療法士等」）の助言に基づき、当該指定認知症対応型通所介護事業所の機能訓練指導員、看護職員、介護職員、生活相談員その他の職種の者（以下、「機能訓練指導員等」）が共同してアセスメント、利用者の心身の状況等の評価及び個別機能訓練計画の作成を行っていますか。</w:t>
            </w:r>
          </w:p>
          <w:p w:rsidR="004A0854" w:rsidRPr="000F386C" w:rsidRDefault="004A0854" w:rsidP="004A0854">
            <w:pPr>
              <w:ind w:leftChars="-6" w:left="-13" w:firstLineChars="106" w:firstLine="191"/>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その際、理学療法士等は、機能訓練指導員等に対し、日常生活上の留意点、介護の工夫等に関する助言を行っていますか。</w:t>
            </w:r>
          </w:p>
          <w:p w:rsidR="004A0854" w:rsidRPr="000F386C" w:rsidRDefault="004A0854" w:rsidP="004A0854">
            <w:pPr>
              <w:rPr>
                <w:rFonts w:ascii="ＭＳ ゴシック" w:eastAsia="ＭＳ ゴシック" w:hAnsi="ＭＳ ゴシック"/>
                <w:sz w:val="16"/>
                <w:szCs w:val="18"/>
              </w:rPr>
            </w:pPr>
          </w:p>
          <w:p w:rsidR="004A0854" w:rsidRPr="000F386C" w:rsidRDefault="004A0854" w:rsidP="004A0854">
            <w:pPr>
              <w:ind w:left="160" w:hangingChars="100" w:hanging="160"/>
              <w:rPr>
                <w:rFonts w:ascii="ＭＳ ゴシック" w:eastAsia="ＭＳ ゴシック" w:hAnsi="ＭＳ ゴシック"/>
                <w:sz w:val="18"/>
                <w:szCs w:val="18"/>
              </w:rPr>
            </w:pPr>
            <w:r w:rsidRPr="000F386C">
              <w:rPr>
                <w:rFonts w:ascii="ＭＳ ゴシック" w:eastAsia="ＭＳ ゴシック" w:hAnsi="ＭＳ ゴシック" w:hint="eastAsia"/>
                <w:sz w:val="16"/>
                <w:szCs w:val="18"/>
              </w:rPr>
              <w:t>※　「リハビリテーションを実施している医療提供施設」とは、診療報酬における疾患別リハビリテーション料の届出を行っている病院若しくは診療所又は介護老人保健施設若しくは介護医療院であること。</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9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vAlign w:val="center"/>
          </w:tcPr>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認知症対応型通所介護事業所の機能訓練指導員等と連携してＩＣＴを活用した動画やテレビ電話を用いて把握した上で、当該指定認知症対応型通所介護事業所の機能訓練指導員等に助言を行うこと。</w:t>
            </w:r>
          </w:p>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9107EC">
        <w:trPr>
          <w:cantSplit/>
          <w:trHeight w:val="1692"/>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single" w:sz="4" w:space="0" w:color="auto"/>
            </w:tcBorders>
            <w:vAlign w:val="center"/>
          </w:tcPr>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w:t>
            </w:r>
          </w:p>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なお、個別機能訓練計画に相当する内容を認知症対応型通所介護計画の中に記載する場合は、その記載をもって個別機能訓練計画の作成に代えることができるものとすること。</w:t>
            </w: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leftChars="-6" w:left="-13" w:firstLineChars="6" w:firstLine="11"/>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dotted" w:sz="4" w:space="0" w:color="auto"/>
            </w:tcBorders>
            <w:vAlign w:val="center"/>
          </w:tcPr>
          <w:p w:rsidR="004A0854" w:rsidRPr="000F386C" w:rsidRDefault="004A0854" w:rsidP="004A0854">
            <w:pPr>
              <w:ind w:left="2"/>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（３）　（１）の評価に基づき、個別機能訓練計画の進捗状況等を三月ごとに一回以上評価し、利用者又はその家族に対し、機能訓練の内容と個別機能訓練計画の進捗状況等を説明し、必要に応じて訓練内容の見直し等を行っていますか。</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vAlign w:val="center"/>
          </w:tcPr>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うこと。</w:t>
            </w: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single" w:sz="4" w:space="0" w:color="auto"/>
            </w:tcBorders>
            <w:vAlign w:val="center"/>
          </w:tcPr>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理学療法士等は、機能訓練指導員等と共同で、３月ごとに１回以上、個別機能訓練の進捗状況等について評価した上で、機能訓練指導員等が利用者等に対して個別機能訓練計画の内容（評価を含む。）や進捗状況等を説明していること。</w:t>
            </w:r>
          </w:p>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49403A">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機能訓練に関する記録（実施時間、訓練内容、担当者等）は、利用者ごとに保管され、常に当該事業所の機能訓練指導員等により閲覧が可能であるようにしていますか。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49403A">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生活機能向上連携加算（Ⅰ）は個別機能訓練計画に基づき個別機能訓練を提供した初回の月に限り、算定していますか。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１）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ない。</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dashSmallGap"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個別機能訓練加算を算定している場合は、算定していませんか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dashSmallGap"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生活機能向上連携加算（Ⅱ）</w:t>
            </w:r>
          </w:p>
        </w:tc>
        <w:tc>
          <w:tcPr>
            <w:tcW w:w="3195" w:type="pct"/>
            <w:tcBorders>
              <w:top w:val="single" w:sz="4" w:space="0" w:color="auto"/>
              <w:bottom w:val="dotted"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　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が共同して利用者の身体状況等の評価及び個別機能訓練計画の作成を行っ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　その際、理学療法士等は、機能訓練指導員等に対し、日常生活上の留意点、介護の工夫等に関する助言を行っていますか。</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9107E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w:t>
            </w:r>
          </w:p>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なお、個別機能訓練計画に相当する内容を認知症対応型通所介護計画の中に記載する場合は、その記載をもって個別機能訓練計画の作成に代えることができるものとすること。</w:t>
            </w: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2A2418">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2A2418">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dotted"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（３）　（１）の評価に基づき、個別機能訓練計画の進捗状況等を三月ごとに一回以上評価し、利用者又はその家族に対し、機能訓練の内容と個別機能訓練計画の進捗状況等を説明し、必要に応じて訓練内容の見直し等を行っていますか。</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2A2418">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vAlign w:val="center"/>
          </w:tcPr>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2A2418">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single" w:sz="4" w:space="0" w:color="auto"/>
            </w:tcBorders>
            <w:vAlign w:val="center"/>
          </w:tcPr>
          <w:p w:rsidR="004A0854" w:rsidRPr="000F386C" w:rsidRDefault="004A0854" w:rsidP="004A0854">
            <w:pPr>
              <w:ind w:leftChars="61" w:left="128"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理学療法士等は、３月ごとに１回以上指定認知症対応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single" w:sz="4" w:space="0" w:color="auto"/>
            </w:tcBorders>
            <w:shd w:val="clear" w:color="auto" w:fill="BFBFBF" w:themeFill="background1" w:themeFillShade="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B2B6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機能訓練に関する記録（実施時間、訓練内容、担当者等）は、利用者ごとに保管され、常に当該事業所の機能訓練指導員等により閲覧が可能ですか。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B2B6C">
        <w:trPr>
          <w:cantSplit/>
          <w:trHeight w:val="26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個別機能訓練加算を算定している場合は、１月につき100単位を算定していますか。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B2B6C">
        <w:trPr>
          <w:cantSplit/>
          <w:trHeight w:val="266"/>
        </w:trPr>
        <w:tc>
          <w:tcPr>
            <w:tcW w:w="1154" w:type="pct"/>
            <w:tcBorders>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個別機能訓練加算（Ⅰ・Ⅱ共通）</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指定認知症対応型通所介護を行う時間帯に１日120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を１名以上配置し、利用者に対して、機能訓練指導員、看護職員、介護職員、生活相談員その他の職種の者が共同して、利用者ごとに個別機能訓練計画を作成し、当該計画に基づき、計画的に機能訓練を行っている場合は、個別機能訓練加算Ⅰとして１日につき27単位を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41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特定の曜日だけ理学療法士等を配置している場合は、その曜日におけるサービスのみを当該加算の算定対象としていますか。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383"/>
        </w:trPr>
        <w:tc>
          <w:tcPr>
            <w:tcW w:w="1154" w:type="pct"/>
            <w:tcBorders>
              <w:top w:val="nil"/>
              <w:bottom w:val="nil"/>
            </w:tcBorders>
          </w:tcPr>
          <w:p w:rsidR="004A0854" w:rsidRPr="000F386C" w:rsidRDefault="004A0854" w:rsidP="004A0854">
            <w:pPr>
              <w:ind w:firstLineChars="100" w:firstLine="180"/>
              <w:rPr>
                <w:rFonts w:ascii="ＭＳ ゴシック" w:eastAsia="ＭＳ ゴシック" w:hAnsi="ＭＳ ゴシック"/>
                <w:sz w:val="18"/>
                <w:szCs w:val="18"/>
              </w:rPr>
            </w:pPr>
          </w:p>
        </w:tc>
        <w:tc>
          <w:tcPr>
            <w:tcW w:w="3195" w:type="pct"/>
            <w:tcBorders>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理学療法士等が配置される曜日はあらかじめ定められ、利用者や居宅介護支援事業者に周知されていますか。</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220"/>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認知症対応型通所介護事業所の看護職員が加算に係る機能訓練指導員の職務に従事する場合には、当該職務時間を認知症対応型通所介護事業所における看護職員としての人員基準の算定に含めていませんか。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414"/>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個別機能訓練を行うに当たっては、機能訓練指導員、看護職員、介護職員、生活相談員その他の職種の者が共同して、利用者ごとにその目標、実施方法等を内容とする個別機能訓練計画を作成していますか。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個別機能訓練計画に相当する内容を認知症対応型通所介護計画の中に記載する場合は、その記載をもって個別機能訓練計画の作成に代えることができる。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70"/>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上記計画に基づいて行った個別機能訓練の効果、実施方法等について評価等を行っていますか。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70"/>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開始時及びその３か月後に１回以上利用者に対して個別機能訓練計画の内容を説明し、記録していますか。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5E129E">
        <w:trPr>
          <w:cantSplit/>
          <w:trHeight w:val="282"/>
        </w:trPr>
        <w:tc>
          <w:tcPr>
            <w:tcW w:w="1154" w:type="pct"/>
            <w:tcBorders>
              <w:top w:val="nil"/>
              <w:bottom w:val="dashSmallGap" w:sz="4" w:space="0" w:color="auto"/>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個別機能訓練に関する記録（実施時間、訓練内容、担当者等）は、利用者ごとに保管され、常に当該事業所の個別機能訓練の従業者により閲覧が可能ですか。</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B900E2">
        <w:trPr>
          <w:cantSplit/>
          <w:trHeight w:val="282"/>
        </w:trPr>
        <w:tc>
          <w:tcPr>
            <w:tcW w:w="1154" w:type="pct"/>
            <w:tcBorders>
              <w:top w:val="dashSmallGap"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個別機能訓練加算（Ⅱ）</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２０単位を所定単位数に加算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B900E2">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厚生労働省への情報の提出については、「科学的介護情報システム」（以下「ＬＩＦＥ」という。）を用いて行っていますか。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ＬＩＦＥへの提出情報、提出頻度等については、「科学的介護情報システム（ＬＩＦＥ）関連加算に関する基本</w:t>
            </w:r>
            <w:r w:rsidRPr="0014340D">
              <w:rPr>
                <w:rFonts w:ascii="ＭＳ ゴシック" w:eastAsia="ＭＳ ゴシック" w:hAnsi="ＭＳ ゴシック" w:hint="eastAsia"/>
                <w:sz w:val="18"/>
                <w:szCs w:val="18"/>
              </w:rPr>
              <w:t>的</w:t>
            </w:r>
            <w:r w:rsidR="00CE2184" w:rsidRPr="0014340D">
              <w:rPr>
                <w:rFonts w:ascii="ＭＳ ゴシック" w:eastAsia="ＭＳ ゴシック" w:hAnsi="ＭＳ ゴシック" w:hint="eastAsia"/>
                <w:sz w:val="18"/>
                <w:szCs w:val="18"/>
              </w:rPr>
              <w:t>な</w:t>
            </w:r>
            <w:r w:rsidRPr="0014340D">
              <w:rPr>
                <w:rFonts w:ascii="ＭＳ ゴシック" w:eastAsia="ＭＳ ゴシック" w:hAnsi="ＭＳ ゴシック" w:hint="eastAsia"/>
                <w:sz w:val="18"/>
                <w:szCs w:val="18"/>
              </w:rPr>
              <w:t>考</w:t>
            </w:r>
            <w:r w:rsidRPr="000F386C">
              <w:rPr>
                <w:rFonts w:ascii="ＭＳ ゴシック" w:eastAsia="ＭＳ ゴシック" w:hAnsi="ＭＳ ゴシック" w:hint="eastAsia"/>
                <w:sz w:val="18"/>
                <w:szCs w:val="18"/>
              </w:rPr>
              <w:t>え方並びに事務処理手順及び様式例の提示について」を参照。</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B900E2">
        <w:trPr>
          <w:cantSplit/>
          <w:trHeight w:val="282"/>
        </w:trPr>
        <w:tc>
          <w:tcPr>
            <w:tcW w:w="1154" w:type="pct"/>
            <w:tcBorders>
              <w:top w:val="nil"/>
              <w:bottom w:val="single" w:sz="4" w:space="0" w:color="auto"/>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っ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提出された情報については、国民の健康の保持増進及びその有する能力の維持向上に資するため、適宜活用されるものである。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86DF0">
        <w:trPr>
          <w:cantSplit/>
          <w:trHeight w:val="282"/>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ＡＤＬ維持等加算（Ⅰ・Ⅱ共通）</w:t>
            </w: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以下の基準に適合し、利用者に対して指定認知症対応型通所介護を行った場合は、評価対象期間（別に厚生労働大臣が定める期間をいう。）の満了日の属する月の翌月から１２月以内の期間に限り、当該基準に掲げる区分に従い、１月につき次に掲げる単位数を所定単位数に加算していますか。</w:t>
            </w:r>
          </w:p>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ただし、次に掲げるいずれかの加算を算定している場合においては、次に掲げるその他の加算は算定</w:t>
            </w:r>
            <w:r>
              <w:rPr>
                <w:rFonts w:ascii="ＭＳ ゴシック" w:eastAsia="ＭＳ ゴシック" w:hAnsi="ＭＳ ゴシック" w:hint="eastAsia"/>
                <w:sz w:val="18"/>
                <w:szCs w:val="18"/>
              </w:rPr>
              <w:t>し</w:t>
            </w:r>
            <w:r w:rsidRPr="000F386C">
              <w:rPr>
                <w:rFonts w:ascii="ＭＳ ゴシック" w:eastAsia="ＭＳ ゴシック" w:hAnsi="ＭＳ ゴシック" w:hint="eastAsia"/>
                <w:sz w:val="18"/>
                <w:szCs w:val="18"/>
              </w:rPr>
              <w:t>ていませんか。</w:t>
            </w:r>
          </w:p>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　ＡＤＬ維持等加算(Ⅰ)　３０単位</w:t>
            </w:r>
          </w:p>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　ＡＤＬ維持等加算(Ⅱ)　６０単位</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86DF0">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評価対象者（当該事業所又は当該施設の利用期間（以下、「評価対象利用期間」という。）が六月を超える者をいう。以下この項目において同じ。）の総数が十人以上ですか。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86DF0">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14340D"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w:t>
            </w:r>
            <w:r w:rsidRPr="0014340D">
              <w:rPr>
                <w:rFonts w:ascii="ＭＳ ゴシック" w:eastAsia="ＭＳ ゴシック" w:hAnsi="ＭＳ ゴシック" w:hint="eastAsia"/>
                <w:sz w:val="18"/>
                <w:szCs w:val="18"/>
              </w:rPr>
              <w:t>にLIFEを用いて当該測定を提出していますか。</w:t>
            </w:r>
          </w:p>
          <w:p w:rsidR="004A0854" w:rsidRPr="001911A0" w:rsidRDefault="004A0854" w:rsidP="004A0854">
            <w:pPr>
              <w:ind w:firstLineChars="100" w:firstLine="170"/>
              <w:rPr>
                <w:rFonts w:ascii="ＭＳ ゴシック" w:eastAsia="ＭＳ ゴシック" w:hAnsi="ＭＳ ゴシック"/>
                <w:sz w:val="18"/>
                <w:szCs w:val="18"/>
              </w:rPr>
            </w:pPr>
            <w:r w:rsidRPr="0014340D">
              <w:rPr>
                <w:rFonts w:ascii="ＭＳ ゴシック" w:eastAsia="ＭＳ ゴシック" w:hAnsi="ＭＳ ゴシック" w:hint="eastAsia"/>
                <w:sz w:val="17"/>
                <w:szCs w:val="17"/>
              </w:rPr>
              <w:t>LIFEへの提出情報、提出頻度等については、「科学的介護情報システム（LIFE）関連加算に関する基本的考え方並びに事務処理手順及び様式例の提示について」を参照されたい。</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86DF0">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leftChars="100" w:left="210" w:firstLineChars="100" w:firstLine="180"/>
              <w:rPr>
                <w:rFonts w:ascii="ＭＳ ゴシック" w:eastAsia="ＭＳ ゴシック" w:hAnsi="ＭＳ ゴシック"/>
                <w:sz w:val="18"/>
                <w:szCs w:val="18"/>
              </w:rPr>
            </w:pP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86DF0">
        <w:trPr>
          <w:cantSplit/>
          <w:trHeight w:val="339"/>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1911A0" w:rsidRDefault="004A0854" w:rsidP="004A0854">
            <w:pPr>
              <w:ind w:left="180" w:hangingChars="100" w:hanging="180"/>
              <w:rPr>
                <w:rFonts w:ascii="ＭＳ ゴシック" w:eastAsia="ＭＳ ゴシック" w:hAnsi="ＭＳ ゴシック"/>
                <w:strike/>
                <w:color w:val="FF0000"/>
                <w:sz w:val="18"/>
                <w:szCs w:val="18"/>
              </w:rPr>
            </w:pP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14340D">
        <w:trPr>
          <w:cantSplit/>
          <w:trHeight w:val="2536"/>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680352" w:rsidRDefault="004A0854" w:rsidP="004A0854">
            <w:pPr>
              <w:ind w:left="180" w:hangingChars="100" w:hanging="180"/>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ていますか。</w:t>
            </w:r>
          </w:p>
          <w:tbl>
            <w:tblPr>
              <w:tblStyle w:val="aff8"/>
              <w:tblpPr w:leftFromText="142" w:rightFromText="142" w:vertAnchor="text" w:horzAnchor="margin" w:tblpY="130"/>
              <w:tblOverlap w:val="never"/>
              <w:tblW w:w="6516" w:type="dxa"/>
              <w:tblLayout w:type="fixed"/>
              <w:tblLook w:val="04A0" w:firstRow="1" w:lastRow="0" w:firstColumn="1" w:lastColumn="0" w:noHBand="0" w:noVBand="1"/>
            </w:tblPr>
            <w:tblGrid>
              <w:gridCol w:w="3539"/>
              <w:gridCol w:w="2410"/>
              <w:gridCol w:w="567"/>
            </w:tblGrid>
            <w:tr w:rsidR="00680352" w:rsidRPr="00680352" w:rsidTr="00DC5E32">
              <w:trPr>
                <w:trHeight w:val="70"/>
              </w:trPr>
              <w:tc>
                <w:tcPr>
                  <w:tcW w:w="3539" w:type="dxa"/>
                  <w:vMerge w:val="restart"/>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 xml:space="preserve">１　</w:t>
                  </w:r>
                </w:p>
              </w:tc>
              <w:tc>
                <w:tcPr>
                  <w:tcW w:w="2410"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ADL値が０以上25以下</w:t>
                  </w:r>
                </w:p>
              </w:tc>
              <w:tc>
                <w:tcPr>
                  <w:tcW w:w="567"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１</w:t>
                  </w:r>
                </w:p>
              </w:tc>
            </w:tr>
            <w:tr w:rsidR="00680352" w:rsidRPr="00680352" w:rsidTr="00DC5E32">
              <w:trPr>
                <w:trHeight w:val="70"/>
              </w:trPr>
              <w:tc>
                <w:tcPr>
                  <w:tcW w:w="3539" w:type="dxa"/>
                  <w:vMerge/>
                </w:tcPr>
                <w:p w:rsidR="004A0854" w:rsidRPr="00680352" w:rsidRDefault="004A0854" w:rsidP="004A0854">
                  <w:pPr>
                    <w:rPr>
                      <w:rFonts w:ascii="ＭＳ ゴシック" w:eastAsia="ＭＳ ゴシック" w:hAnsi="ＭＳ ゴシック"/>
                      <w:sz w:val="18"/>
                      <w:szCs w:val="18"/>
                    </w:rPr>
                  </w:pPr>
                </w:p>
              </w:tc>
              <w:tc>
                <w:tcPr>
                  <w:tcW w:w="2410"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ADL値が30以上50以下</w:t>
                  </w:r>
                </w:p>
              </w:tc>
              <w:tc>
                <w:tcPr>
                  <w:tcW w:w="567"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１</w:t>
                  </w:r>
                </w:p>
              </w:tc>
            </w:tr>
            <w:tr w:rsidR="00680352" w:rsidRPr="00680352" w:rsidTr="00DC5E32">
              <w:trPr>
                <w:trHeight w:val="70"/>
              </w:trPr>
              <w:tc>
                <w:tcPr>
                  <w:tcW w:w="3539" w:type="dxa"/>
                  <w:vMerge/>
                </w:tcPr>
                <w:p w:rsidR="004A0854" w:rsidRPr="00680352" w:rsidRDefault="004A0854" w:rsidP="004A0854">
                  <w:pPr>
                    <w:rPr>
                      <w:rFonts w:ascii="ＭＳ ゴシック" w:eastAsia="ＭＳ ゴシック" w:hAnsi="ＭＳ ゴシック"/>
                      <w:sz w:val="18"/>
                      <w:szCs w:val="18"/>
                    </w:rPr>
                  </w:pPr>
                </w:p>
              </w:tc>
              <w:tc>
                <w:tcPr>
                  <w:tcW w:w="2410"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ADL値が55以上75以下</w:t>
                  </w:r>
                </w:p>
              </w:tc>
              <w:tc>
                <w:tcPr>
                  <w:tcW w:w="567"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２</w:t>
                  </w:r>
                </w:p>
              </w:tc>
            </w:tr>
            <w:tr w:rsidR="00680352" w:rsidRPr="00680352" w:rsidTr="00DC5E32">
              <w:trPr>
                <w:trHeight w:val="185"/>
              </w:trPr>
              <w:tc>
                <w:tcPr>
                  <w:tcW w:w="3539" w:type="dxa"/>
                  <w:vMerge/>
                </w:tcPr>
                <w:p w:rsidR="004A0854" w:rsidRPr="00680352" w:rsidRDefault="004A0854" w:rsidP="004A0854">
                  <w:pPr>
                    <w:rPr>
                      <w:rFonts w:ascii="ＭＳ ゴシック" w:eastAsia="ＭＳ ゴシック" w:hAnsi="ＭＳ ゴシック"/>
                      <w:sz w:val="18"/>
                      <w:szCs w:val="18"/>
                    </w:rPr>
                  </w:pPr>
                </w:p>
              </w:tc>
              <w:tc>
                <w:tcPr>
                  <w:tcW w:w="2410"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ADL値が80以上100以下</w:t>
                  </w:r>
                </w:p>
              </w:tc>
              <w:tc>
                <w:tcPr>
                  <w:tcW w:w="567" w:type="dxa"/>
                </w:tcPr>
                <w:p w:rsidR="004A0854" w:rsidRPr="00680352" w:rsidRDefault="004A0854" w:rsidP="004A0854">
                  <w:pPr>
                    <w:rPr>
                      <w:rFonts w:ascii="ＭＳ ゴシック" w:eastAsia="ＭＳ ゴシック" w:hAnsi="ＭＳ ゴシック"/>
                      <w:sz w:val="18"/>
                      <w:szCs w:val="18"/>
                    </w:rPr>
                  </w:pPr>
                  <w:r w:rsidRPr="00680352">
                    <w:rPr>
                      <w:rFonts w:ascii="ＭＳ ゴシック" w:eastAsia="ＭＳ ゴシック" w:hAnsi="ＭＳ ゴシック" w:hint="eastAsia"/>
                      <w:sz w:val="18"/>
                      <w:szCs w:val="18"/>
                    </w:rPr>
                    <w:t>３</w:t>
                  </w:r>
                </w:p>
              </w:tc>
            </w:tr>
          </w:tbl>
          <w:p w:rsidR="004A0854" w:rsidRPr="000F386C" w:rsidRDefault="004A0854" w:rsidP="004A0854">
            <w:pPr>
              <w:ind w:left="180" w:hangingChars="100" w:hanging="180"/>
              <w:rPr>
                <w:rFonts w:ascii="ＭＳ ゴシック" w:eastAsia="ＭＳ ゴシック" w:hAnsi="ＭＳ ゴシック" w:hint="eastAsia"/>
                <w:sz w:val="18"/>
                <w:szCs w:val="18"/>
              </w:rPr>
            </w:pP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w:t>
            </w:r>
            <w:r>
              <w:rPr>
                <w:rFonts w:ascii="ＭＳ ゴシック" w:eastAsia="ＭＳ ゴシック" w:hAnsi="ＭＳ ゴシック" w:hint="eastAsia"/>
                <w:sz w:val="18"/>
                <w:szCs w:val="18"/>
              </w:rPr>
              <w:t>していますか。</w:t>
            </w:r>
          </w:p>
          <w:p w:rsidR="004A0854" w:rsidRPr="000F386C" w:rsidRDefault="004A0854" w:rsidP="004A0854">
            <w:pPr>
              <w:rPr>
                <w:rFonts w:ascii="ＭＳ ゴシック" w:eastAsia="ＭＳ ゴシック" w:hAnsi="ＭＳ ゴシック"/>
                <w:sz w:val="18"/>
                <w:szCs w:val="18"/>
              </w:rPr>
            </w:pP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322EB9" w:rsidRPr="000F386C" w:rsidTr="00386DF0">
        <w:trPr>
          <w:cantSplit/>
          <w:trHeight w:val="282"/>
        </w:trPr>
        <w:tc>
          <w:tcPr>
            <w:tcW w:w="1154" w:type="pct"/>
            <w:tcBorders>
              <w:top w:val="nil"/>
              <w:bottom w:val="dashSmallGap" w:sz="4" w:space="0" w:color="auto"/>
            </w:tcBorders>
            <w:vAlign w:val="center"/>
          </w:tcPr>
          <w:p w:rsidR="00322EB9" w:rsidRPr="000F386C" w:rsidRDefault="00322EB9"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322EB9" w:rsidRPr="00322EB9" w:rsidRDefault="00322EB9" w:rsidP="004A0854">
            <w:pPr>
              <w:rPr>
                <w:rFonts w:ascii="ＭＳ ゴシック" w:eastAsia="ＭＳ ゴシック" w:hAnsi="ＭＳ ゴシック"/>
                <w:color w:val="FF0000"/>
                <w:sz w:val="18"/>
                <w:szCs w:val="18"/>
              </w:rPr>
            </w:pPr>
            <w:r w:rsidRPr="00322EB9">
              <w:rPr>
                <w:rFonts w:ascii="ＭＳ ゴシック" w:eastAsia="ＭＳ ゴシック" w:hAnsi="ＭＳ ゴシック" w:hint="eastAsia"/>
                <w:color w:val="FF0000"/>
                <w:sz w:val="18"/>
                <w:szCs w:val="18"/>
              </w:rPr>
              <w:t>令和</w:t>
            </w:r>
            <w:r>
              <w:rPr>
                <w:rFonts w:ascii="ＭＳ ゴシック" w:eastAsia="ＭＳ ゴシック" w:hAnsi="ＭＳ ゴシック" w:hint="eastAsia"/>
                <w:color w:val="FF0000"/>
                <w:sz w:val="18"/>
                <w:szCs w:val="18"/>
              </w:rPr>
              <w:t>６年度については、令和６年3月以前よりADL維持</w:t>
            </w:r>
            <w:r w:rsidR="007D37B0">
              <w:rPr>
                <w:rFonts w:ascii="ＭＳ ゴシック" w:eastAsia="ＭＳ ゴシック" w:hAnsi="ＭＳ ゴシック" w:hint="eastAsia"/>
                <w:color w:val="FF0000"/>
                <w:sz w:val="18"/>
                <w:szCs w:val="18"/>
              </w:rPr>
              <w:t>加算（Ⅱ）を算定している場合、ADL利得に関わらず、評価対象期間の満了日の属する月の翌月から12月に限り算定を継続することができる。</w:t>
            </w:r>
          </w:p>
        </w:tc>
        <w:tc>
          <w:tcPr>
            <w:tcW w:w="218" w:type="pct"/>
            <w:tcBorders>
              <w:top w:val="single" w:sz="4" w:space="0" w:color="auto"/>
              <w:bottom w:val="single" w:sz="4" w:space="0" w:color="auto"/>
            </w:tcBorders>
            <w:vAlign w:val="center"/>
          </w:tcPr>
          <w:p w:rsidR="00322EB9" w:rsidRPr="000F386C" w:rsidRDefault="00322EB9" w:rsidP="004A0854">
            <w:pPr>
              <w:jc w:val="center"/>
              <w:rPr>
                <w:rFonts w:ascii="ＭＳ ゴシック" w:eastAsia="ＭＳ ゴシック" w:hAnsi="ＭＳ ゴシック"/>
                <w:sz w:val="24"/>
              </w:rPr>
            </w:pPr>
          </w:p>
        </w:tc>
        <w:tc>
          <w:tcPr>
            <w:tcW w:w="218" w:type="pct"/>
            <w:tcBorders>
              <w:top w:val="single" w:sz="4" w:space="0" w:color="auto"/>
              <w:bottom w:val="single" w:sz="4" w:space="0" w:color="auto"/>
            </w:tcBorders>
            <w:vAlign w:val="center"/>
          </w:tcPr>
          <w:p w:rsidR="00322EB9" w:rsidRPr="000F386C" w:rsidRDefault="00322EB9" w:rsidP="004A0854">
            <w:pPr>
              <w:jc w:val="center"/>
              <w:rPr>
                <w:rFonts w:ascii="ＭＳ ゴシック" w:eastAsia="ＭＳ ゴシック" w:hAnsi="ＭＳ ゴシック"/>
                <w:sz w:val="24"/>
              </w:rPr>
            </w:pPr>
          </w:p>
        </w:tc>
        <w:tc>
          <w:tcPr>
            <w:tcW w:w="215" w:type="pct"/>
            <w:tcBorders>
              <w:top w:val="single" w:sz="4" w:space="0" w:color="auto"/>
              <w:bottom w:val="single" w:sz="4" w:space="0" w:color="auto"/>
            </w:tcBorders>
            <w:vAlign w:val="center"/>
          </w:tcPr>
          <w:p w:rsidR="00322EB9" w:rsidRPr="000F386C" w:rsidRDefault="00322EB9" w:rsidP="004A0854">
            <w:pPr>
              <w:jc w:val="center"/>
              <w:rPr>
                <w:rFonts w:ascii="ＭＳ ゴシック" w:eastAsia="ＭＳ ゴシック" w:hAnsi="ＭＳ ゴシック"/>
                <w:sz w:val="24"/>
              </w:rPr>
            </w:pPr>
          </w:p>
        </w:tc>
      </w:tr>
      <w:tr w:rsidR="004A0854" w:rsidRPr="000F386C" w:rsidTr="00386DF0">
        <w:trPr>
          <w:cantSplit/>
          <w:trHeight w:val="282"/>
        </w:trPr>
        <w:tc>
          <w:tcPr>
            <w:tcW w:w="1154" w:type="pct"/>
            <w:tcBorders>
              <w:top w:val="dashSmallGap" w:sz="4" w:space="0" w:color="auto"/>
              <w:bottom w:val="dashSmallGap"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ＡＤＬ維持等加算（Ⅰ）</w:t>
            </w: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ＡＤＬ利得の</w:t>
            </w:r>
            <w:r w:rsidRPr="000F386C">
              <w:rPr>
                <w:rFonts w:ascii="ＭＳ ゴシック" w:eastAsia="ＭＳ ゴシック" w:hAnsi="ＭＳ ゴシック" w:hint="eastAsia"/>
                <w:sz w:val="18"/>
                <w:szCs w:val="18"/>
                <w:u w:val="single"/>
              </w:rPr>
              <w:t>平均値が一以上</w:t>
            </w:r>
            <w:r w:rsidRPr="000F386C">
              <w:rPr>
                <w:rFonts w:ascii="ＭＳ ゴシック" w:eastAsia="ＭＳ ゴシック" w:hAnsi="ＭＳ ゴシック" w:hint="eastAsia"/>
                <w:sz w:val="18"/>
                <w:szCs w:val="18"/>
              </w:rPr>
              <w:t>ですか。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86DF0">
        <w:trPr>
          <w:cantSplit/>
          <w:trHeight w:val="282"/>
        </w:trPr>
        <w:tc>
          <w:tcPr>
            <w:tcW w:w="1154" w:type="pct"/>
            <w:tcBorders>
              <w:top w:val="dashSmallGap" w:sz="4" w:space="0" w:color="auto"/>
              <w:bottom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ＡＤＬ維持等加算（Ⅱ）</w:t>
            </w: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ＡＤＬ利得の</w:t>
            </w:r>
            <w:r w:rsidRPr="000F386C">
              <w:rPr>
                <w:rFonts w:ascii="ＭＳ ゴシック" w:eastAsia="ＭＳ ゴシック" w:hAnsi="ＭＳ ゴシック" w:hint="eastAsia"/>
                <w:sz w:val="18"/>
                <w:szCs w:val="18"/>
                <w:u w:val="single"/>
              </w:rPr>
              <w:t>平均値が</w:t>
            </w:r>
            <w:r w:rsidRPr="001911A0">
              <w:rPr>
                <w:rFonts w:ascii="ＭＳ ゴシック" w:eastAsia="ＭＳ ゴシック" w:hAnsi="ＭＳ ゴシック" w:hint="eastAsia"/>
                <w:color w:val="FF0000"/>
                <w:sz w:val="18"/>
                <w:szCs w:val="18"/>
                <w:u w:val="single"/>
              </w:rPr>
              <w:t>三</w:t>
            </w:r>
            <w:r w:rsidRPr="000F386C">
              <w:rPr>
                <w:rFonts w:ascii="ＭＳ ゴシック" w:eastAsia="ＭＳ ゴシック" w:hAnsi="ＭＳ ゴシック" w:hint="eastAsia"/>
                <w:sz w:val="18"/>
                <w:szCs w:val="18"/>
                <w:u w:val="single"/>
              </w:rPr>
              <w:t>以上で</w:t>
            </w:r>
            <w:r w:rsidRPr="000F386C">
              <w:rPr>
                <w:rFonts w:ascii="ＭＳ ゴシック" w:eastAsia="ＭＳ ゴシック" w:hAnsi="ＭＳ ゴシック" w:hint="eastAsia"/>
                <w:sz w:val="18"/>
                <w:szCs w:val="18"/>
              </w:rPr>
              <w:t>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092B38">
        <w:trPr>
          <w:cantSplit/>
          <w:trHeight w:val="282"/>
        </w:trPr>
        <w:tc>
          <w:tcPr>
            <w:tcW w:w="1154" w:type="pct"/>
            <w:vMerge w:val="restart"/>
            <w:tcBorders>
              <w:top w:val="nil"/>
            </w:tcBorders>
          </w:tcPr>
          <w:p w:rsidR="004A0854" w:rsidRPr="000F386C" w:rsidRDefault="004A0854" w:rsidP="004A0854">
            <w:pPr>
              <w:ind w:left="22" w:hangingChars="12" w:hanging="22"/>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若年性認知症利用者受入加算</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若年性認知症利用者（初老期における認知症によって要介護者となった40歳以上65歳未満の者）に対して、指定認知症対応型通所介護を行った場合、１日につき60単位を算定していますか。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001B89">
        <w:trPr>
          <w:cantSplit/>
          <w:trHeight w:val="282"/>
        </w:trPr>
        <w:tc>
          <w:tcPr>
            <w:tcW w:w="1154" w:type="pct"/>
            <w:vMerge/>
            <w:tcBorders>
              <w:bottom w:val="single"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受け入れた若年性認知症利用者ごとに個別に担当者を定め、その者を中心に、当該利用者の特性やニーズに応じたサービス提供を行っていますか。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001B89">
        <w:trPr>
          <w:cantSplit/>
          <w:trHeight w:val="282"/>
        </w:trPr>
        <w:tc>
          <w:tcPr>
            <w:tcW w:w="1154" w:type="pct"/>
            <w:tcBorders>
              <w:top w:val="single" w:sz="4" w:space="0" w:color="auto"/>
              <w:bottom w:val="nil"/>
            </w:tcBorders>
          </w:tcPr>
          <w:p w:rsidR="004A0854" w:rsidRPr="000F386C" w:rsidRDefault="004A0854" w:rsidP="004A0854">
            <w:pPr>
              <w:jc w:val="lef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栄養アセスメント加算</w:t>
            </w:r>
          </w:p>
          <w:p w:rsidR="004A0854" w:rsidRPr="000F386C" w:rsidRDefault="004A0854" w:rsidP="004A0854">
            <w:pPr>
              <w:jc w:val="lef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下記の要件を満たし、管理栄養士が介護職員等と共同して栄養アセスメント（利用者ごとの低栄養状態のリスク及び解決すべき課題を把握することをいう。以下この項目において同じ。）を行った場合は、栄養アセスメント加算として、１月につき50単位を算定し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40F0C">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left="2"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栄養改善加算の算定に係る栄養改善サービスを受けている間及び当該栄養改善サービスが終了した日の属する月は、算定していませんか。</w:t>
            </w:r>
          </w:p>
          <w:p w:rsidR="004A0854" w:rsidRPr="000F386C" w:rsidRDefault="004A0854" w:rsidP="004A0854">
            <w:pPr>
              <w:ind w:left="2"/>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栄養アセスメント加算に基づく栄養アセスメントの結果、栄養改善加算に係る栄養改善サービスの提供が必要と判断された場合は、栄養アセスメント加算の算定月でも栄養改善加算を算定できる。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6A5578">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dashSmallGap" w:sz="4" w:space="0" w:color="auto"/>
            </w:tcBorders>
            <w:vAlign w:val="center"/>
          </w:tcPr>
          <w:p w:rsidR="004A0854" w:rsidRPr="000F386C" w:rsidRDefault="004A0854" w:rsidP="004A0854">
            <w:pPr>
              <w:ind w:firstLineChars="100" w:firstLine="200"/>
              <w:rPr>
                <w:rFonts w:ascii="ＭＳ ゴシック" w:eastAsia="ＭＳ ゴシック" w:hAnsi="ＭＳ ゴシック"/>
                <w:sz w:val="18"/>
                <w:szCs w:val="18"/>
              </w:rPr>
            </w:pPr>
            <w:r w:rsidRPr="000E08D7">
              <w:rPr>
                <w:rFonts w:ascii="ＭＳ ゴシック" w:eastAsia="ＭＳ ゴシック" w:hAnsi="ＭＳ ゴシック" w:hint="eastAsia"/>
                <w:color w:val="2E74B5"/>
                <w:sz w:val="20"/>
                <w:szCs w:val="20"/>
                <w:u w:val="single"/>
              </w:rPr>
              <w:t>「リハビリテーション・個別機能訓練、栄養、口腔の実施及び一体的取組について」</w:t>
            </w:r>
            <w:r w:rsidRPr="000F386C">
              <w:rPr>
                <w:rFonts w:ascii="ＭＳ ゴシック" w:eastAsia="ＭＳ ゴシック" w:hAnsi="ＭＳ ゴシック" w:hint="eastAsia"/>
                <w:sz w:val="18"/>
                <w:szCs w:val="18"/>
              </w:rPr>
              <w:t>を確認したうえで実施していますか。</w:t>
            </w:r>
          </w:p>
        </w:tc>
        <w:tc>
          <w:tcPr>
            <w:tcW w:w="218" w:type="pct"/>
            <w:tcBorders>
              <w:top w:val="single"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40F0C">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dashSmallGap" w:sz="4" w:space="0" w:color="auto"/>
            </w:tcBorders>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①　事業所の従業者として又は外部※との連携により管理栄養士を１名以上配置していますか。</w:t>
            </w:r>
          </w:p>
          <w:p w:rsidR="004A0854" w:rsidRPr="000F386C" w:rsidRDefault="004A0854" w:rsidP="004A0854">
            <w:pPr>
              <w:ind w:leftChars="100" w:left="21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w:t>
            </w:r>
          </w:p>
        </w:tc>
        <w:tc>
          <w:tcPr>
            <w:tcW w:w="218" w:type="pct"/>
            <w:tcBorders>
              <w:top w:val="single"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40F0C">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bottom w:val="dashSmallGap" w:sz="4" w:space="0" w:color="auto"/>
            </w:tcBorders>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②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218" w:type="pct"/>
            <w:tcBorders>
              <w:top w:val="dashSmallGap"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dashSmallGap"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dashSmallGap"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40F0C">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bottom w:val="dashSmallGap" w:sz="4" w:space="0" w:color="auto"/>
            </w:tcBorders>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③　利用者ごとの栄養状態等の情報を厚生労働省に提出し、栄養管理の実施に当たって、当該情報その他栄養管理の適切かつ有効な実施のために必要な情報を活用していますか。</w:t>
            </w:r>
          </w:p>
        </w:tc>
        <w:tc>
          <w:tcPr>
            <w:tcW w:w="218" w:type="pct"/>
            <w:tcBorders>
              <w:top w:val="dashSmallGap"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dashSmallGap"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dashSmallGap" w:sz="4" w:space="0" w:color="auto"/>
              <w:bottom w:val="dashSmallGap"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40F0C">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bottom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④　定員超過・人員基準欠如に該当していませんか。</w:t>
            </w:r>
          </w:p>
        </w:tc>
        <w:tc>
          <w:tcPr>
            <w:tcW w:w="218" w:type="pct"/>
            <w:tcBorders>
              <w:top w:val="dashSmallGap"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dashSmallGap"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dashSmallGap"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栄養アセスメントは、利用者ごとに行われるケア・マネジメントの一環として行われていますか。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dotted"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栄養アセスメントは、３月に１回以上、イからニまでに掲げる手順により行っていますか。あわせて、利用者の体重については、１月毎に測定していますか。</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dotted"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tcPr>
          <w:p w:rsidR="004A0854" w:rsidRPr="000F386C" w:rsidRDefault="004A0854" w:rsidP="004A0854">
            <w:pPr>
              <w:ind w:leftChars="12" w:left="25"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イ　利用者ごとの低栄養状態のリスクを、利用開始時に把握すること。</w:t>
            </w:r>
          </w:p>
        </w:tc>
        <w:tc>
          <w:tcPr>
            <w:tcW w:w="218"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tcPr>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ロ　管理栄養士、看護職員、介護職員、生活相談員その他の職種の者が共同して、利用者ごとの摂食・嚥下機能及び食形態にも配慮しつつ、解決すべき栄養管理上の課題の把握を行うこと。</w:t>
            </w:r>
          </w:p>
        </w:tc>
        <w:tc>
          <w:tcPr>
            <w:tcW w:w="218"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dotted" w:sz="4" w:space="0" w:color="auto"/>
            </w:tcBorders>
          </w:tcPr>
          <w:p w:rsidR="004A0854" w:rsidRPr="000F386C" w:rsidRDefault="004A0854" w:rsidP="004A0854">
            <w:pPr>
              <w:ind w:leftChars="100" w:left="570" w:hangingChars="200" w:hanging="36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ハ　イ及びロの結果を当該利用者又はその家族に対して説明し、必要に応じ解決すべき栄養管理上の課題に応じた栄養食事相談、情報提供等を行うこと。</w:t>
            </w:r>
          </w:p>
        </w:tc>
        <w:tc>
          <w:tcPr>
            <w:tcW w:w="218"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dotted"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bottom w:val="single" w:sz="4" w:space="0" w:color="auto"/>
            </w:tcBorders>
          </w:tcPr>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ニ　低栄養状態にある利用者又はそのおそれのある利用者については、介護支援専門員と情報共有を行い、栄養改善加算に係る栄養改善サービスの提供を検討するように依頼すること。</w:t>
            </w:r>
          </w:p>
        </w:tc>
        <w:tc>
          <w:tcPr>
            <w:tcW w:w="218" w:type="pct"/>
            <w:tcBorders>
              <w:top w:val="dotted" w:sz="4" w:space="0" w:color="auto"/>
              <w:bottom w:val="single"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bottom w:val="single"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bottom w:val="single" w:sz="4" w:space="0" w:color="auto"/>
            </w:tcBorders>
            <w:shd w:val="clear" w:color="auto" w:fill="A6A6A6" w:themeFill="background1" w:themeFillShade="A6"/>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001B89">
        <w:trPr>
          <w:cantSplit/>
          <w:trHeight w:val="282"/>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厚生労働省への情報の提出については、ＬＩＦＥを用いて行っていますか。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ＬＩＦＥへの提出情報、提出頻度等については、「科学的介護情報システム（ＬＩＦＥ）関連加算に関する基本的考え方並びに事務処理手順及び様式例の提示について」を参照。</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B900E2">
        <w:trPr>
          <w:cantSplit/>
          <w:trHeight w:val="282"/>
        </w:trPr>
        <w:tc>
          <w:tcPr>
            <w:tcW w:w="1154" w:type="pct"/>
            <w:tcBorders>
              <w:top w:val="nil"/>
              <w:bottom w:val="single" w:sz="4" w:space="0" w:color="auto"/>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bottom w:val="single" w:sz="4" w:space="0" w:color="auto"/>
            </w:tcBorders>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を行っていますか。</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bottom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B2B6C">
        <w:trPr>
          <w:cantSplit/>
          <w:trHeight w:val="609"/>
        </w:trPr>
        <w:tc>
          <w:tcPr>
            <w:tcW w:w="1154" w:type="pct"/>
            <w:tcBorders>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栄養改善加算</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下記の要件を満たし、低栄養状態にある利用者又はそのおそれのある利用者に対して、栄養改善サービス（当該利用者の低栄養状態の改善等を目的として、個別的に実施させる栄養食事相談等の栄養管理であって、利用者の心身の状態の維持又は向上に資すると認められるもの）を行った場合、３月以内の期間に限り１月に２回を限度として１回につき200単位を算定していますか。　</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10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ind w:firstLineChars="100" w:firstLine="200"/>
              <w:rPr>
                <w:rFonts w:ascii="ＭＳ ゴシック" w:eastAsia="ＭＳ ゴシック" w:hAnsi="ＭＳ ゴシック"/>
                <w:sz w:val="18"/>
                <w:szCs w:val="18"/>
              </w:rPr>
            </w:pPr>
            <w:r w:rsidRPr="000E08D7">
              <w:rPr>
                <w:rFonts w:ascii="ＭＳ ゴシック" w:eastAsia="ＭＳ ゴシック" w:hAnsi="ＭＳ ゴシック" w:hint="eastAsia"/>
                <w:color w:val="2E74B5"/>
                <w:sz w:val="20"/>
                <w:szCs w:val="20"/>
                <w:u w:val="single"/>
              </w:rPr>
              <w:t>「リハビリテーション・個別機能訓練、栄養、口腔の実施及び一体的取組について」</w:t>
            </w:r>
            <w:r w:rsidRPr="000F386C">
              <w:rPr>
                <w:rFonts w:ascii="ＭＳ ゴシック" w:eastAsia="ＭＳ ゴシック" w:hAnsi="ＭＳ ゴシック" w:hint="eastAsia"/>
                <w:sz w:val="18"/>
                <w:szCs w:val="18"/>
              </w:rPr>
              <w:t>を確認したうえで実施していますか。</w:t>
            </w:r>
          </w:p>
        </w:tc>
        <w:tc>
          <w:tcPr>
            <w:tcW w:w="218"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B2B6C">
        <w:trPr>
          <w:cantSplit/>
          <w:trHeight w:val="10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①　当該事業所従業員として又は外部※との連携により管理栄養士を１名以上配置していますか。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w:t>
            </w:r>
          </w:p>
        </w:tc>
        <w:tc>
          <w:tcPr>
            <w:tcW w:w="218"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60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②　利用者の栄養状態を利用開始時に把握し、管理栄養士等が共同して、利用者ごとの摂食・嚥下機能及び食形態にも配慮した栄養ケア計画を作成していますか。</w:t>
            </w:r>
          </w:p>
        </w:tc>
        <w:tc>
          <w:tcPr>
            <w:tcW w:w="218"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60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③　利用者ごとの栄養ケア計画に従い、必要に応じて当該利用者居宅を訪問し、管理栄養士等が栄養改善サービスを行っているとともに、利用者の栄養状態を定期的に記録していますか。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サービス提供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tc>
        <w:tc>
          <w:tcPr>
            <w:tcW w:w="218"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21"/>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④　利用者ごとの栄養ケア計画の進捗状況を定期的に評価していますか。</w:t>
            </w:r>
          </w:p>
        </w:tc>
        <w:tc>
          <w:tcPr>
            <w:tcW w:w="218"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ashSmallGap" w:sz="4" w:space="0" w:color="auto"/>
              <w:left w:val="single" w:sz="4" w:space="0" w:color="auto"/>
              <w:bottom w:val="dashSmallGap"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70"/>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ashSmallGap" w:sz="4" w:space="0" w:color="auto"/>
              <w:left w:val="single" w:sz="4" w:space="0" w:color="auto"/>
              <w:bottom w:val="single"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⑤　定員超過・人員基準欠如に該当していませんか。</w:t>
            </w:r>
          </w:p>
        </w:tc>
        <w:tc>
          <w:tcPr>
            <w:tcW w:w="218" w:type="pct"/>
            <w:tcBorders>
              <w:top w:val="dashSmallGap"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ashSmallGap"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ashSmallGap"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0"/>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栄養改善サービスの提供は、利用者ごとに行われるケア・マネジメントの一環として行われていますか。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0"/>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栄養改善加算を算定できる利用者は、次にイ～ホのいずれかに該当する者であって、栄養改善サービスの提供が必要と認められる者となっていますか。</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135"/>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b/>
                <w:sz w:val="18"/>
                <w:szCs w:val="18"/>
              </w:rPr>
            </w:pPr>
            <w:r w:rsidRPr="000F386C">
              <w:rPr>
                <w:rFonts w:ascii="ＭＳ ゴシック" w:eastAsia="ＭＳ ゴシック" w:hAnsi="ＭＳ ゴシック" w:hint="eastAsia"/>
                <w:sz w:val="18"/>
                <w:szCs w:val="18"/>
              </w:rPr>
              <w:t>イ　BMIが18.5未満である者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609"/>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ロ　1～6月間で3％以上の体重の減少が認められる者又は「地域支援事業の実施について」（平成18年6月9日老発第0609001号厚生労働省老健局通知）に規定する基本チェックリストのNo.(11)の項目が「1」に該当する者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25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ハ　血清アルブミン値が3.5g/dl以下である者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233"/>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二　食事摂取量が不良(75％以下)である者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7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ホ　その他低栄養状態にある又はそのおそれがあると認められる者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60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なお、次のような問題を有する者について、上記イ～ホのいずれかの項目に該当するかどうか適宜確認すること。</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・口腔及び摂食・嚥下機能の問題(基本チェックリストの口腔機能に関する(13)、(14)、(15)のいずれかの項目において「1」に該当する者などを含む。)</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・生活機能の低下の問題</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・褥瘡に関する問題</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・食欲の低下の問題</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・閉じこもりの問題(基本チェックリストの閉じこもりに関する(16)、(17)のいずれかの項目において「1」に該当する者などを含む。)</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・認知症の問題(基本チェックリストの認知症に関連する(18)、(19)、(20)のいずれかの項目において「1」に該当する者などを含む。)</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・うつの問題(基本チェックリストのうつに関連する(21)～(25)の項目において、2項目以上「1」に該当する者などを含む。)</w:t>
            </w:r>
          </w:p>
        </w:tc>
        <w:tc>
          <w:tcPr>
            <w:tcW w:w="218"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栄養改善サービスの提供は、下記の手順を経てなされていますか。</w:t>
            </w:r>
          </w:p>
        </w:tc>
        <w:tc>
          <w:tcPr>
            <w:tcW w:w="218"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277"/>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利用者ごとの低栄養状態のリスクを、利用開始時に把握していますか。</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60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開始時に、管理栄養士が中心となって、利用者ごとの栄養アセスメント(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栄養ケア計画に相当する内容を認知症対応型通所介護計画の中に記載する場合は、その記載をもって栄養ケア計画の作成に代えることができる。</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44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作成した栄養ケア計画については、栄養改善サービスの対象となる利用者又はその家族に説明し、その同意を得ていますか。</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38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栄養ケア計画に基づき、管理栄養士等が利用者ごとに栄養改善サービスを提供していますか。</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337"/>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栄養ケア計画に実施上の問題点があれば、直ちに当該計画を修正していますか。</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446"/>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698"/>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の栄養状態に応じて、定期的に、利用者の生活機能の状況を検討し、おおむね３月ごとに体重を測定する等により利用状態の評価を行い、その結果について、当該利用者を担当する介護支援専門員や主治の医師に対して情報提供していますか。</w:t>
            </w:r>
          </w:p>
        </w:tc>
        <w:tc>
          <w:tcPr>
            <w:tcW w:w="218"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698"/>
        </w:trPr>
        <w:tc>
          <w:tcPr>
            <w:tcW w:w="1154" w:type="pct"/>
            <w:tcBorders>
              <w:top w:val="nil"/>
              <w:bottom w:val="single"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継続的に栄養改善サービスを提供する利用者は、おおむね３月ごとの評価の結果、イ～ホに該当し、継続的に管理栄養士等がサービス提供行うことにより、栄養改善の効果が期待できると認められ者とし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609"/>
        </w:trPr>
        <w:tc>
          <w:tcPr>
            <w:tcW w:w="1154" w:type="pct"/>
            <w:tcBorders>
              <w:top w:val="single" w:sz="4" w:space="0" w:color="auto"/>
              <w:bottom w:val="nil"/>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口腔・栄養スクリーニング加算（Ⅰ・Ⅱ共通）</w:t>
            </w: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当該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算定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次に掲げるいずれかの加算を算定している場合においては、次に掲げるその他の加算は算定せず、当該利用者について、当該事業所以外で既に口腔・栄養スクリーニング加算を算定している場合は算定しない。</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　口腔・栄養スクリーニング加算(Ⅰ)　20単位</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　口腔・栄養スクリーニング加算(Ⅱ)　５単位</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52"/>
        </w:trPr>
        <w:tc>
          <w:tcPr>
            <w:tcW w:w="1154" w:type="pct"/>
            <w:tcBorders>
              <w:top w:val="nil"/>
              <w:bottom w:val="nil"/>
            </w:tcBorders>
          </w:tcPr>
          <w:p w:rsidR="004A0854" w:rsidRPr="000F386C" w:rsidRDefault="004A0854" w:rsidP="004A0854">
            <w:pPr>
              <w:wordWrap w:val="0"/>
              <w:jc w:val="right"/>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left="6"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利用者が、当該事業所以外で既に口腔・栄養スクリーニング加算を算定している場合には算定していませんか。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B2B6C">
        <w:trPr>
          <w:cantSplit/>
          <w:trHeight w:val="352"/>
        </w:trPr>
        <w:tc>
          <w:tcPr>
            <w:tcW w:w="1154" w:type="pct"/>
            <w:tcBorders>
              <w:top w:val="nil"/>
              <w:bottom w:val="nil"/>
            </w:tcBorders>
          </w:tcPr>
          <w:p w:rsidR="004A0854" w:rsidRPr="000F386C" w:rsidRDefault="004A0854" w:rsidP="004A0854">
            <w:pPr>
              <w:wordWrap w:val="0"/>
              <w:jc w:val="right"/>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200"/>
              <w:rPr>
                <w:rFonts w:ascii="ＭＳ ゴシック" w:eastAsia="ＭＳ ゴシック" w:hAnsi="ＭＳ ゴシック"/>
                <w:sz w:val="18"/>
                <w:szCs w:val="18"/>
              </w:rPr>
            </w:pPr>
            <w:r w:rsidRPr="000E08D7">
              <w:rPr>
                <w:rFonts w:ascii="ＭＳ ゴシック" w:eastAsia="ＭＳ ゴシック" w:hAnsi="ＭＳ ゴシック" w:hint="eastAsia"/>
                <w:color w:val="2E74B5"/>
                <w:sz w:val="20"/>
                <w:szCs w:val="20"/>
                <w:u w:val="single"/>
              </w:rPr>
              <w:t>「リハビリテーション・個別機能訓練、栄養、口腔の実施及び一体的取組について」</w:t>
            </w:r>
            <w:r w:rsidRPr="000F386C">
              <w:rPr>
                <w:rFonts w:ascii="ＭＳ ゴシック" w:eastAsia="ＭＳ ゴシック" w:hAnsi="ＭＳ ゴシック" w:hint="eastAsia"/>
                <w:sz w:val="18"/>
                <w:szCs w:val="18"/>
              </w:rPr>
              <w:t>を確認したうえで実施していますか。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3B2B6C">
        <w:trPr>
          <w:cantSplit/>
          <w:trHeight w:val="352"/>
        </w:trPr>
        <w:tc>
          <w:tcPr>
            <w:tcW w:w="1154" w:type="pct"/>
            <w:tcBorders>
              <w:top w:val="nil"/>
              <w:bottom w:val="nil"/>
            </w:tcBorders>
          </w:tcPr>
          <w:p w:rsidR="004A0854" w:rsidRPr="000F386C" w:rsidRDefault="004A0854" w:rsidP="004A0854">
            <w:pPr>
              <w:wordWrap w:val="0"/>
              <w:jc w:val="right"/>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定員超過・人員基準欠如に該当していませんか。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352"/>
        </w:trPr>
        <w:tc>
          <w:tcPr>
            <w:tcW w:w="1154" w:type="pct"/>
            <w:tcBorders>
              <w:top w:val="nil"/>
              <w:bottom w:val="nil"/>
            </w:tcBorders>
          </w:tcPr>
          <w:p w:rsidR="004A0854" w:rsidRPr="000F386C" w:rsidRDefault="004A0854" w:rsidP="004A0854">
            <w:pPr>
              <w:wordWrap w:val="0"/>
              <w:jc w:val="right"/>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458"/>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利用者について、次に掲げる確認を行い、確認した情報を介護支援専門員に対し、提供していますか。</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25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cs="ＭＳ 明朝" w:hint="eastAsia"/>
                <w:kern w:val="0"/>
                <w:sz w:val="18"/>
                <w:szCs w:val="18"/>
                <w:lang w:val="ja-JP"/>
              </w:rPr>
              <w:t>イ　口腔スクリーニング</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70"/>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autoSpaceDE w:val="0"/>
              <w:autoSpaceDN w:val="0"/>
              <w:adjustRightInd w:val="0"/>
              <w:ind w:left="413" w:hanging="220"/>
              <w:jc w:val="left"/>
              <w:rPr>
                <w:rFonts w:ascii="ＭＳ ゴシック" w:eastAsia="ＭＳ ゴシック" w:hAnsi="ＭＳ ゴシック" w:cs="ＭＳ 明朝"/>
                <w:kern w:val="0"/>
                <w:sz w:val="18"/>
                <w:szCs w:val="18"/>
                <w:lang w:val="ja-JP"/>
              </w:rPr>
            </w:pPr>
            <w:r w:rsidRPr="000F386C">
              <w:rPr>
                <w:rFonts w:ascii="ＭＳ ゴシック" w:eastAsia="ＭＳ ゴシック" w:hAnsi="ＭＳ ゴシック" w:cs="ＭＳ 明朝" w:hint="eastAsia"/>
                <w:kern w:val="0"/>
                <w:sz w:val="18"/>
                <w:szCs w:val="18"/>
                <w:lang w:val="ja-JP"/>
              </w:rPr>
              <w:t>ａ　硬いものを避け、柔らかいものを中心に食べる者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5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autoSpaceDE w:val="0"/>
              <w:autoSpaceDN w:val="0"/>
              <w:adjustRightInd w:val="0"/>
              <w:ind w:left="413" w:hanging="220"/>
              <w:jc w:val="left"/>
              <w:rPr>
                <w:rFonts w:ascii="ＭＳ ゴシック" w:eastAsia="ＭＳ ゴシック" w:hAnsi="ＭＳ ゴシック" w:cs="ＭＳ 明朝"/>
                <w:kern w:val="0"/>
                <w:sz w:val="18"/>
                <w:szCs w:val="18"/>
                <w:lang w:val="ja-JP"/>
              </w:rPr>
            </w:pPr>
            <w:r w:rsidRPr="000F386C">
              <w:rPr>
                <w:rFonts w:ascii="ＭＳ ゴシック" w:eastAsia="ＭＳ ゴシック" w:hAnsi="ＭＳ ゴシック" w:cs="ＭＳ 明朝" w:hint="eastAsia"/>
                <w:kern w:val="0"/>
                <w:sz w:val="18"/>
                <w:szCs w:val="18"/>
                <w:lang w:val="ja-JP"/>
              </w:rPr>
              <w:t>ｂ　入れ歯を使っている者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5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cs="ＭＳ 明朝" w:hint="eastAsia"/>
                <w:kern w:val="0"/>
                <w:sz w:val="18"/>
                <w:szCs w:val="18"/>
                <w:lang w:val="ja-JP"/>
              </w:rPr>
              <w:t>ｃ　むせやすい者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5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autoSpaceDE w:val="0"/>
              <w:autoSpaceDN w:val="0"/>
              <w:adjustRightInd w:val="0"/>
              <w:jc w:val="left"/>
              <w:rPr>
                <w:rFonts w:ascii="ＭＳ ゴシック" w:eastAsia="ＭＳ ゴシック" w:hAnsi="ＭＳ ゴシック" w:cs="ＭＳ 明朝"/>
                <w:kern w:val="0"/>
                <w:sz w:val="18"/>
                <w:szCs w:val="18"/>
                <w:lang w:val="ja-JP"/>
              </w:rPr>
            </w:pPr>
            <w:r w:rsidRPr="000F386C">
              <w:rPr>
                <w:rFonts w:ascii="ＭＳ ゴシック" w:eastAsia="ＭＳ ゴシック" w:hAnsi="ＭＳ ゴシック" w:cs="ＭＳ 明朝" w:hint="eastAsia"/>
                <w:kern w:val="0"/>
                <w:sz w:val="18"/>
                <w:szCs w:val="18"/>
                <w:lang w:val="ja-JP"/>
              </w:rPr>
              <w:t>ロ　栄養スクリーニング</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5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Chars="105" w:left="22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a　BMIが18.5未満である者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609"/>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Chars="105" w:left="40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b　１～６月間で３％以上の体重の減少が認められる者又は「地域支援事業の実施について」（平成18年６月９日老発第0609001号厚生労働省老健局長通知）に規定する基本チェックリストのＮｏ．11の項目が「１」に該当す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15"/>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Chars="105" w:left="22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c　血清アルブミン値が3.5g/dl以下である者</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191"/>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Chars="105" w:left="22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d　食事摂取量が不良(75％以下)である者</w:t>
            </w: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B2B6C">
        <w:trPr>
          <w:cantSplit/>
          <w:trHeight w:val="60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栄養スクリーニング加算の算定を行う事業所については、サービス担当者会議で決定することとし、原則として、当該事業所が当該加算に基づく口腔・栄養スクリーニングを継続的に実施し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609"/>
        </w:trPr>
        <w:tc>
          <w:tcPr>
            <w:tcW w:w="1154" w:type="pct"/>
            <w:tcBorders>
              <w:top w:val="nil"/>
              <w:bottom w:val="dashed" w:sz="4" w:space="0" w:color="auto"/>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栄養スクリーニング加算の算定月において、栄養改善加算又は口腔機能向上加算を算定する場合は、口腔・栄養スクリーニング加算に基づく口腔・栄養スクリーニングの結果、栄養改善加算に係る栄養改善サービス又は口腔機能向上加算に係る口腔機能向上サービスの提供が必要と判断された場合に限っ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115"/>
        </w:trPr>
        <w:tc>
          <w:tcPr>
            <w:tcW w:w="1154" w:type="pct"/>
            <w:vMerge w:val="restart"/>
            <w:tcBorders>
              <w:top w:val="dashed" w:sz="4" w:space="0" w:color="auto"/>
            </w:tcBorders>
          </w:tcPr>
          <w:p w:rsidR="004A0854" w:rsidRPr="000F386C" w:rsidRDefault="004A0854" w:rsidP="004A0854">
            <w:pPr>
              <w:jc w:val="left"/>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口腔・栄養スクリーニング加算（Ⅰ）</w:t>
            </w:r>
          </w:p>
        </w:tc>
        <w:tc>
          <w:tcPr>
            <w:tcW w:w="319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115"/>
        </w:trPr>
        <w:tc>
          <w:tcPr>
            <w:tcW w:w="1154" w:type="pct"/>
            <w:vMerge/>
            <w:tcBorders>
              <w:top w:val="dashed" w:sz="4" w:space="0" w:color="auto"/>
            </w:tcBorders>
          </w:tcPr>
          <w:p w:rsidR="004A0854" w:rsidRPr="000F386C" w:rsidRDefault="004A0854" w:rsidP="004A0854">
            <w:pPr>
              <w:jc w:val="left"/>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②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115"/>
        </w:trPr>
        <w:tc>
          <w:tcPr>
            <w:tcW w:w="1154" w:type="pct"/>
            <w:vMerge/>
            <w:tcBorders>
              <w:top w:val="dashed" w:sz="4" w:space="0" w:color="auto"/>
            </w:tcBorders>
          </w:tcPr>
          <w:p w:rsidR="004A0854" w:rsidRPr="000F386C" w:rsidRDefault="004A0854" w:rsidP="004A0854">
            <w:pPr>
              <w:jc w:val="left"/>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算定日が属する月が、次に掲げる基準の</w:t>
            </w:r>
            <w:r w:rsidRPr="000F386C">
              <w:rPr>
                <w:rFonts w:ascii="ＭＳ ゴシック" w:eastAsia="ＭＳ ゴシック" w:hAnsi="ＭＳ ゴシック" w:hint="eastAsia"/>
                <w:sz w:val="18"/>
                <w:szCs w:val="18"/>
                <w:u w:val="single"/>
              </w:rPr>
              <w:t>いずれにも適合していますか</w:t>
            </w:r>
            <w:r w:rsidRPr="000F386C">
              <w:rPr>
                <w:rFonts w:ascii="ＭＳ ゴシック" w:eastAsia="ＭＳ ゴシック" w:hAnsi="ＭＳ ゴシック" w:hint="eastAsia"/>
                <w:sz w:val="18"/>
                <w:szCs w:val="18"/>
              </w:rPr>
              <w:t>。</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AD4795">
        <w:trPr>
          <w:cantSplit/>
          <w:trHeight w:val="190"/>
        </w:trPr>
        <w:tc>
          <w:tcPr>
            <w:tcW w:w="1154" w:type="pct"/>
            <w:vMerge/>
            <w:tcBorders>
              <w:bottom w:val="dashed"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Chars="61" w:left="128"/>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栄養アセスメント加算を算定していない。</w:t>
            </w:r>
          </w:p>
          <w:p w:rsidR="004A0854" w:rsidRPr="000F386C" w:rsidRDefault="004A0854" w:rsidP="004A0854">
            <w:pPr>
              <w:ind w:leftChars="61" w:left="218" w:hangingChars="50" w:hanging="9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当該利用者が栄養改善加算の算定に係る栄養改善サービスを受けている間ではない若しくは当該栄養改善サービスが終了した日の属する月ではない</w:t>
            </w:r>
            <w:r w:rsidR="000B0B31" w:rsidRPr="000B0B31">
              <w:rPr>
                <w:rFonts w:ascii="ＭＳ ゴシック" w:eastAsia="ＭＳ ゴシック" w:hAnsi="ＭＳ ゴシック" w:hint="eastAsia"/>
                <w:color w:val="FF0000"/>
                <w:sz w:val="18"/>
                <w:szCs w:val="18"/>
              </w:rPr>
              <w:t>（栄養状態のスクリーニングを行った結果、栄養改善サービスが必要であると判断され、栄養改善サービスが開始された日の属する月を除く）。</w:t>
            </w:r>
          </w:p>
          <w:p w:rsidR="004A0854" w:rsidRDefault="004A0854" w:rsidP="004A0854">
            <w:pPr>
              <w:ind w:leftChars="61" w:left="218" w:hangingChars="50" w:hanging="90"/>
              <w:rPr>
                <w:rFonts w:ascii="ＭＳ ゴシック" w:eastAsia="ＭＳ ゴシック" w:hAnsi="ＭＳ ゴシック"/>
                <w:color w:val="FF0000"/>
                <w:sz w:val="18"/>
                <w:szCs w:val="18"/>
              </w:rPr>
            </w:pPr>
            <w:r w:rsidRPr="000F386C">
              <w:rPr>
                <w:rFonts w:ascii="ＭＳ ゴシック" w:eastAsia="ＭＳ ゴシック" w:hAnsi="ＭＳ ゴシック" w:hint="eastAsia"/>
                <w:sz w:val="18"/>
                <w:szCs w:val="18"/>
              </w:rPr>
              <w:t>・ 当該利用者が口腔機能向上加算の算定に係る口腔機能向上サービスを受けている間ではない又は当該口腔機能向上サービスが終了した日の属する月ではない</w:t>
            </w:r>
            <w:r w:rsidR="000B0B31" w:rsidRPr="000B0B31">
              <w:rPr>
                <w:rFonts w:ascii="ＭＳ ゴシック" w:eastAsia="ＭＳ ゴシック" w:hAnsi="ＭＳ ゴシック" w:hint="eastAsia"/>
                <w:color w:val="FF0000"/>
                <w:sz w:val="18"/>
                <w:szCs w:val="18"/>
              </w:rPr>
              <w:t>（口腔の健康状態のスクリーニングを行った結果、口腔機能向上サービスが必要であると判断され、口腔機能向上サービスが開始された日の属する月を除く）。</w:t>
            </w:r>
          </w:p>
          <w:p w:rsidR="000B0B31" w:rsidRPr="000F386C" w:rsidRDefault="000B0B31" w:rsidP="004A0854">
            <w:pPr>
              <w:ind w:leftChars="61" w:left="218" w:hangingChars="50" w:hanging="9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B0B31">
              <w:rPr>
                <w:rFonts w:ascii="ＭＳ ゴシック" w:eastAsia="ＭＳ ゴシック" w:hAnsi="ＭＳ ゴシック" w:hint="eastAsia"/>
                <w:color w:val="FF0000"/>
                <w:sz w:val="18"/>
                <w:szCs w:val="18"/>
              </w:rPr>
              <w:t>他の介護サービスの事業所において、当該利用者について、口腔連携強化加算を算定していないこと。</w:t>
            </w: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AD4795">
        <w:trPr>
          <w:cantSplit/>
          <w:trHeight w:val="291"/>
        </w:trPr>
        <w:tc>
          <w:tcPr>
            <w:tcW w:w="1154" w:type="pct"/>
            <w:vMerge w:val="restart"/>
            <w:tcBorders>
              <w:top w:val="dashed"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口腔・栄養スクリーニング加</w:t>
            </w:r>
            <w:r w:rsidRPr="000F386C">
              <w:rPr>
                <w:rFonts w:ascii="ＭＳ ゴシック" w:eastAsia="ＭＳ ゴシック" w:hAnsi="ＭＳ ゴシック" w:hint="eastAsia"/>
                <w:sz w:val="18"/>
                <w:szCs w:val="18"/>
              </w:rPr>
              <w:lastRenderedPageBreak/>
              <w:t>算（Ⅱ）</w:t>
            </w:r>
          </w:p>
        </w:tc>
        <w:tc>
          <w:tcPr>
            <w:tcW w:w="319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lastRenderedPageBreak/>
              <w:t>次に掲げる【１】【２】</w:t>
            </w:r>
            <w:r w:rsidRPr="000F386C">
              <w:rPr>
                <w:rFonts w:ascii="ＭＳ ゴシック" w:eastAsia="ＭＳ ゴシック" w:hAnsi="ＭＳ ゴシック" w:hint="eastAsia"/>
                <w:sz w:val="18"/>
                <w:szCs w:val="18"/>
                <w:u w:val="single"/>
              </w:rPr>
              <w:t>いずれかに適合していますか</w:t>
            </w:r>
            <w:r w:rsidRPr="000F386C">
              <w:rPr>
                <w:rFonts w:ascii="ＭＳ ゴシック" w:eastAsia="ＭＳ ゴシック" w:hAnsi="ＭＳ ゴシック" w:hint="eastAsia"/>
                <w:sz w:val="18"/>
                <w:szCs w:val="18"/>
              </w:rPr>
              <w:t>。</w:t>
            </w:r>
          </w:p>
        </w:tc>
        <w:tc>
          <w:tcPr>
            <w:tcW w:w="218"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ashSmallGap"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776BC4">
        <w:trPr>
          <w:cantSplit/>
          <w:trHeight w:val="2057"/>
        </w:trPr>
        <w:tc>
          <w:tcPr>
            <w:tcW w:w="1154" w:type="pct"/>
            <w:vMerge/>
            <w:tcBorders>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w:t>
            </w:r>
          </w:p>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加算(Ⅰ)の①に適合する。</w:t>
            </w:r>
          </w:p>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算定日が属する月が、栄養アセスメント加算を算定している</w:t>
            </w:r>
            <w:r w:rsidR="00F864CF" w:rsidRPr="00F864CF">
              <w:rPr>
                <w:rFonts w:ascii="ＭＳ ゴシック" w:eastAsia="ＭＳ ゴシック" w:hAnsi="ＭＳ ゴシック" w:hint="eastAsia"/>
                <w:color w:val="FF0000"/>
                <w:sz w:val="18"/>
                <w:szCs w:val="18"/>
              </w:rPr>
              <w:t>間である</w:t>
            </w:r>
            <w:r w:rsidRPr="000F386C">
              <w:rPr>
                <w:rFonts w:ascii="ＭＳ ゴシック" w:eastAsia="ＭＳ ゴシック" w:hAnsi="ＭＳ ゴシック" w:hint="eastAsia"/>
                <w:sz w:val="18"/>
                <w:szCs w:val="18"/>
              </w:rPr>
              <w:t>又は当該利用者が栄養改善加算の算定に係る栄養改善サービスを受けている間</w:t>
            </w:r>
            <w:r w:rsidRPr="000F386C">
              <w:rPr>
                <w:rFonts w:ascii="ＭＳ ゴシック" w:eastAsia="ＭＳ ゴシック" w:hAnsi="ＭＳ ゴシック" w:hint="eastAsia"/>
                <w:sz w:val="18"/>
                <w:szCs w:val="18"/>
                <w:u w:val="single"/>
              </w:rPr>
              <w:t>である</w:t>
            </w:r>
            <w:r w:rsidRPr="000F386C">
              <w:rPr>
                <w:rFonts w:ascii="ＭＳ ゴシック" w:eastAsia="ＭＳ ゴシック" w:hAnsi="ＭＳ ゴシック" w:hint="eastAsia"/>
                <w:sz w:val="18"/>
                <w:szCs w:val="18"/>
              </w:rPr>
              <w:t>若しくは当該栄養改善サービスが終了した日の属する月</w:t>
            </w:r>
            <w:r w:rsidRPr="000F386C">
              <w:rPr>
                <w:rFonts w:ascii="ＭＳ ゴシック" w:eastAsia="ＭＳ ゴシック" w:hAnsi="ＭＳ ゴシック" w:hint="eastAsia"/>
                <w:sz w:val="18"/>
                <w:szCs w:val="18"/>
                <w:u w:val="single"/>
              </w:rPr>
              <w:t>である</w:t>
            </w:r>
            <w:r w:rsidR="00F864CF" w:rsidRPr="000B0B31">
              <w:rPr>
                <w:rFonts w:ascii="ＭＳ ゴシック" w:eastAsia="ＭＳ ゴシック" w:hAnsi="ＭＳ ゴシック" w:hint="eastAsia"/>
                <w:color w:val="FF0000"/>
                <w:sz w:val="18"/>
                <w:szCs w:val="18"/>
              </w:rPr>
              <w:t>（栄養状態のスクリーニングを行った結果、栄養改善サービスが必要であると判断され、栄養改善サービスが開始された日の属する月を除く）</w:t>
            </w:r>
            <w:r w:rsidRPr="00F864CF">
              <w:rPr>
                <w:rFonts w:ascii="ＭＳ ゴシック" w:eastAsia="ＭＳ ゴシック" w:hAnsi="ＭＳ ゴシック" w:hint="eastAsia"/>
                <w:color w:val="FF0000"/>
                <w:sz w:val="18"/>
                <w:szCs w:val="18"/>
                <w:u w:val="single"/>
              </w:rPr>
              <w:t>。</w:t>
            </w:r>
          </w:p>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算定日が属する月が、当該利用者が口腔機能向上加算の算定に係る口腔機能向上サービスを受けている間</w:t>
            </w:r>
            <w:r w:rsidRPr="000F386C">
              <w:rPr>
                <w:rFonts w:ascii="ＭＳ ゴシック" w:eastAsia="ＭＳ ゴシック" w:hAnsi="ＭＳ ゴシック" w:hint="eastAsia"/>
                <w:sz w:val="18"/>
                <w:szCs w:val="18"/>
                <w:u w:val="single"/>
              </w:rPr>
              <w:t>ではない</w:t>
            </w:r>
            <w:r w:rsidRPr="000F386C">
              <w:rPr>
                <w:rFonts w:ascii="ＭＳ ゴシック" w:eastAsia="ＭＳ ゴシック" w:hAnsi="ＭＳ ゴシック" w:hint="eastAsia"/>
                <w:sz w:val="18"/>
                <w:szCs w:val="18"/>
              </w:rPr>
              <w:t>及び当該口腔機能向上サービスが終了した日の属する月</w:t>
            </w:r>
            <w:r w:rsidRPr="000F386C">
              <w:rPr>
                <w:rFonts w:ascii="ＭＳ ゴシック" w:eastAsia="ＭＳ ゴシック" w:hAnsi="ＭＳ ゴシック" w:hint="eastAsia"/>
                <w:sz w:val="18"/>
                <w:szCs w:val="18"/>
                <w:u w:val="single"/>
              </w:rPr>
              <w:t>ではない。</w:t>
            </w: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ashSmallGap" w:sz="4" w:space="0" w:color="auto"/>
              <w:left w:val="single" w:sz="4" w:space="0" w:color="auto"/>
              <w:bottom w:val="dashSmallGap"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776BC4">
        <w:trPr>
          <w:cantSplit/>
          <w:trHeight w:val="2028"/>
        </w:trPr>
        <w:tc>
          <w:tcPr>
            <w:tcW w:w="1154" w:type="pct"/>
            <w:tcBorders>
              <w:top w:val="nil"/>
              <w:bottom w:val="single"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w:t>
            </w:r>
          </w:p>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加算(Ⅰ)の②に適合する。</w:t>
            </w:r>
          </w:p>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算定日が属する月が、栄養アセスメント加算を算定していない、かつ、当該利用者が栄養改善加算の算定に係る栄養改善サービスを受けている間</w:t>
            </w:r>
            <w:r w:rsidRPr="000F386C">
              <w:rPr>
                <w:rFonts w:ascii="ＭＳ ゴシック" w:eastAsia="ＭＳ ゴシック" w:hAnsi="ＭＳ ゴシック" w:hint="eastAsia"/>
                <w:sz w:val="18"/>
                <w:szCs w:val="18"/>
                <w:u w:val="single"/>
              </w:rPr>
              <w:t>ではない</w:t>
            </w:r>
            <w:r w:rsidRPr="000F386C">
              <w:rPr>
                <w:rFonts w:ascii="ＭＳ ゴシック" w:eastAsia="ＭＳ ゴシック" w:hAnsi="ＭＳ ゴシック" w:hint="eastAsia"/>
                <w:sz w:val="18"/>
                <w:szCs w:val="18"/>
              </w:rPr>
              <w:t>又は当該栄養改善サービスが終了した日の属する月</w:t>
            </w:r>
            <w:r w:rsidRPr="000F386C">
              <w:rPr>
                <w:rFonts w:ascii="ＭＳ ゴシック" w:eastAsia="ＭＳ ゴシック" w:hAnsi="ＭＳ ゴシック" w:hint="eastAsia"/>
                <w:sz w:val="18"/>
                <w:szCs w:val="18"/>
                <w:u w:val="single"/>
              </w:rPr>
              <w:t>ではない。</w:t>
            </w:r>
          </w:p>
          <w:p w:rsidR="004A0854" w:rsidRDefault="004A0854" w:rsidP="004A0854">
            <w:pPr>
              <w:ind w:leftChars="66" w:left="301" w:hangingChars="90" w:hanging="162"/>
              <w:rPr>
                <w:rFonts w:ascii="ＭＳ ゴシック" w:eastAsia="ＭＳ ゴシック" w:hAnsi="ＭＳ ゴシック"/>
                <w:sz w:val="18"/>
                <w:szCs w:val="18"/>
                <w:u w:val="single"/>
              </w:rPr>
            </w:pPr>
            <w:r w:rsidRPr="000F386C">
              <w:rPr>
                <w:rFonts w:ascii="ＭＳ ゴシック" w:eastAsia="ＭＳ ゴシック" w:hAnsi="ＭＳ ゴシック" w:hint="eastAsia"/>
                <w:sz w:val="18"/>
                <w:szCs w:val="18"/>
              </w:rPr>
              <w:t>・ 算定日が属する月が、当該利用者が口腔機能向上加算の算定に係る口腔機能向上サービスを受けている間</w:t>
            </w:r>
            <w:r w:rsidRPr="000F386C">
              <w:rPr>
                <w:rFonts w:ascii="ＭＳ ゴシック" w:eastAsia="ＭＳ ゴシック" w:hAnsi="ＭＳ ゴシック" w:hint="eastAsia"/>
                <w:sz w:val="18"/>
                <w:szCs w:val="18"/>
                <w:u w:val="single"/>
              </w:rPr>
              <w:t>である</w:t>
            </w:r>
            <w:r w:rsidRPr="000F386C">
              <w:rPr>
                <w:rFonts w:ascii="ＭＳ ゴシック" w:eastAsia="ＭＳ ゴシック" w:hAnsi="ＭＳ ゴシック" w:hint="eastAsia"/>
                <w:sz w:val="18"/>
                <w:szCs w:val="18"/>
              </w:rPr>
              <w:t>及び当該口腔機能向上サービスが終了した日の属する月</w:t>
            </w:r>
            <w:r w:rsidRPr="000F386C">
              <w:rPr>
                <w:rFonts w:ascii="ＭＳ ゴシック" w:eastAsia="ＭＳ ゴシック" w:hAnsi="ＭＳ ゴシック" w:hint="eastAsia"/>
                <w:sz w:val="18"/>
                <w:szCs w:val="18"/>
                <w:u w:val="single"/>
              </w:rPr>
              <w:t>である</w:t>
            </w:r>
            <w:r w:rsidR="00F864CF" w:rsidRPr="000B0B31">
              <w:rPr>
                <w:rFonts w:ascii="ＭＳ ゴシック" w:eastAsia="ＭＳ ゴシック" w:hAnsi="ＭＳ ゴシック" w:hint="eastAsia"/>
                <w:color w:val="FF0000"/>
                <w:sz w:val="18"/>
                <w:szCs w:val="18"/>
              </w:rPr>
              <w:t>（口腔の健康状態のスクリーニングを行った結果、口腔機能向上サービスが必要であると判断され、口腔機能向上サービスが開始された日の属する月を除く）</w:t>
            </w:r>
            <w:r w:rsidRPr="000F386C">
              <w:rPr>
                <w:rFonts w:ascii="ＭＳ ゴシック" w:eastAsia="ＭＳ ゴシック" w:hAnsi="ＭＳ ゴシック" w:hint="eastAsia"/>
                <w:sz w:val="18"/>
                <w:szCs w:val="18"/>
                <w:u w:val="single"/>
              </w:rPr>
              <w:t>。</w:t>
            </w:r>
          </w:p>
          <w:p w:rsidR="00F864CF" w:rsidRPr="000F386C" w:rsidRDefault="00F864CF" w:rsidP="004A0854">
            <w:pPr>
              <w:ind w:leftChars="66" w:left="301" w:hangingChars="90" w:hanging="16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B0B31">
              <w:rPr>
                <w:rFonts w:ascii="ＭＳ ゴシック" w:eastAsia="ＭＳ ゴシック" w:hAnsi="ＭＳ ゴシック" w:hint="eastAsia"/>
                <w:color w:val="FF0000"/>
                <w:sz w:val="18"/>
                <w:szCs w:val="18"/>
              </w:rPr>
              <w:t>他の介護サービスの事業所において、当該利用者について、口腔連携強化加算を算定していないこと。</w:t>
            </w: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ashSmallGap"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B2B6C">
        <w:trPr>
          <w:cantSplit/>
          <w:trHeight w:val="546"/>
        </w:trPr>
        <w:tc>
          <w:tcPr>
            <w:tcW w:w="1154" w:type="pct"/>
            <w:tcBorders>
              <w:top w:val="single"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口腔機能向上加算（Ⅰ・Ⅱ共通）</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下記の要件を満たし、口腔機能が低下している利用者又はそのおそれのある利用者に対して、口腔機能向上サービス（当該利用者の口腔機能の向上を目的として、個別的に実施される口腔清掃の指導若しくは実施又は摂食・嚥下機能に関する訓練の指導若しくは実施であって、利用者の心身の状況の維持又は向上に資すると認められるもの）を行った場合、３月以内の期間に限り１月に２回を限度として１回につき次に掲げる単位数を算定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次に掲げるいずれかの加算を算定している場合においては、次に掲げるその他の加算は算定しない。</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（１）　口腔機能向上加算(Ⅰ)　150単位</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（２）　口腔機能向上加算(Ⅱ)　160単位</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191"/>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200"/>
              <w:rPr>
                <w:rFonts w:ascii="ＭＳ ゴシック" w:eastAsia="ＭＳ ゴシック" w:hAnsi="ＭＳ ゴシック"/>
                <w:sz w:val="18"/>
                <w:szCs w:val="18"/>
              </w:rPr>
            </w:pPr>
            <w:r w:rsidRPr="000E08D7">
              <w:rPr>
                <w:rFonts w:ascii="ＭＳ ゴシック" w:eastAsia="ＭＳ ゴシック" w:hAnsi="ＭＳ ゴシック" w:hint="eastAsia"/>
                <w:color w:val="2E74B5"/>
                <w:sz w:val="20"/>
                <w:szCs w:val="20"/>
                <w:u w:val="single"/>
              </w:rPr>
              <w:t>「リハビリテーション・個別機能訓練、栄養、口腔の実施及び一体的取組について」</w:t>
            </w:r>
            <w:r w:rsidRPr="000F386C">
              <w:rPr>
                <w:rFonts w:ascii="ＭＳ ゴシック" w:eastAsia="ＭＳ ゴシック" w:hAnsi="ＭＳ ゴシック" w:hint="eastAsia"/>
                <w:sz w:val="18"/>
                <w:szCs w:val="18"/>
              </w:rPr>
              <w:t>を確認したうえで実施していますか。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B2B6C">
        <w:trPr>
          <w:cantSplit/>
          <w:trHeight w:val="191"/>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①　言語聴覚士・歯科衛生士又は看護職員を１名以上配置していますか。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②　利用者の口腔機能を利用開始時に把握し、言語聴覚士、歯科衛生士、看護職員、介護職員、生活相談員その他の職種の者が共同して、利用者ごとの口腔機能改善管理指導計画を作成していますか。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③　利用者ごとの口腔機能改善管理指導計画に従い言語聴覚士、歯科衛生士又は看護職員が口腔機能向上サービスを行っているとともに、利用者の口腔機能を定期的に記録していますか。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サービス提供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98"/>
        </w:trPr>
        <w:tc>
          <w:tcPr>
            <w:tcW w:w="1154" w:type="pct"/>
            <w:vMerge w:val="restar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④　利用者ごとの口腔機能改善管理指導計画の進捗状況を定期的に評価していますか。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70"/>
        </w:trPr>
        <w:tc>
          <w:tcPr>
            <w:tcW w:w="1154" w:type="pct"/>
            <w:vMerge/>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⑤　定員超過・人員基準欠如に該当していませんか。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口腔機能向上サービスの提供は、利用者ごとに行われるケア・マネジメントの一環として行われていますか。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口腔機能向上加算を算定できる利用者は、次のイ～ハのいずれかに該当するものであって、口腔機能向上サービスの提供が必要と認められる者になっていますか。</w:t>
            </w:r>
          </w:p>
        </w:tc>
        <w:tc>
          <w:tcPr>
            <w:tcW w:w="218"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70"/>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イ　認知調査票における嚥下、食事摂取、口腔清潔の３項目のいずれかの項目において「1」以外に該当する者</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0"/>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ロ　基本チェックリストの口腔機能に関連する(13)、(14)、(15)の３項目のうち、２項目以上が「1」に該当する者</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203"/>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Chars="61" w:left="128"/>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ハ　その他口腔機能の低下している者又はそのおそれのある者</w:t>
            </w:r>
          </w:p>
        </w:tc>
        <w:tc>
          <w:tcPr>
            <w:tcW w:w="218"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の口腔の状態によって、医療における対応を要する場合も想定されることから、必要に応じて、介護支援専門員を通じて主治医又は主治の歯科医師への情報提供、受診勧奨などの適切な措置を講じていますか。</w:t>
            </w:r>
            <w:r w:rsidR="000C1BFD" w:rsidRPr="000C1BFD">
              <w:rPr>
                <w:rFonts w:ascii="ＭＳ ゴシック" w:eastAsia="ＭＳ ゴシック" w:hAnsi="ＭＳ ゴシック" w:hint="eastAsia"/>
                <w:color w:val="FF0000"/>
                <w:sz w:val="18"/>
                <w:szCs w:val="18"/>
              </w:rPr>
              <w:t>なお、介護保険の口腔機能向上サービスとして「摂食・嚥下機能に関する訓練の指導若しくは実施」を行っていない場合は、加算は算定できない。</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歯科医療を受診している場合であって、次のいずれかに該当する場合にあっては、当該加算を算定していませんか。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医療保険において、歯科診療報酬点数表に掲げる摂食機能療法を算定している場合。</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227"/>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口腔機能向上サービスの提供は、下記の手順を経てなされていますか。</w:t>
            </w:r>
          </w:p>
        </w:tc>
        <w:tc>
          <w:tcPr>
            <w:tcW w:w="218"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single" w:sz="4" w:space="0" w:color="auto"/>
              <w:left w:val="single" w:sz="4" w:space="0" w:color="auto"/>
              <w:bottom w:val="dotted"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AD4795">
        <w:trPr>
          <w:cantSplit/>
          <w:trHeight w:val="125"/>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利用者ごとの口腔機能を、利用開始時に把握していますか。</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ashed" w:sz="4" w:space="0" w:color="auto"/>
              <w:right w:val="single" w:sz="4" w:space="0" w:color="auto"/>
            </w:tcBorders>
            <w:shd w:val="clear" w:color="auto" w:fill="auto"/>
            <w:vAlign w:val="center"/>
          </w:tcPr>
          <w:p w:rsidR="004A0854" w:rsidRPr="000F386C" w:rsidRDefault="004A0854" w:rsidP="004A0854">
            <w:pPr>
              <w:ind w:leftChars="6" w:left="193"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していますか。</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口腔機能改善管理指導計画に相当する内容を認知症対応型通所介護計画の中に記載する場合は、その記載をもって口腔機能改善管理指導計画の作成に代えることができる。</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185"/>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ash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作成した口腔機能改善管理指導計画については、口腔機能向上サービスの対象となる利用者又はその家族に説明し、その同意を得ていますか。</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0"/>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口腔機能改善管理指導計画に基づき、言語聴覚士、歯科衛生士又は看護職員等が利用者ごとに口腔機能向上サービスを提供していますか。</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70"/>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口腔機能改善管理指導計画に実施上の問題点があれば直ちに当該計画を修正していますか。</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利用者の口腔状態に応じて、定期的に、利用者の生活機能の状況を検討し、おおむね３月ごとに口腔機能の状態の評価を行い、その結果について、当該利用者を担当する介護支援専門員や主治の医師、主治の歯科医師に対して情報提供していますか。</w:t>
            </w:r>
          </w:p>
        </w:tc>
        <w:tc>
          <w:tcPr>
            <w:tcW w:w="218"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AD4795">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left="2"/>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　おおむ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tc>
        <w:tc>
          <w:tcPr>
            <w:tcW w:w="218"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tcBorders>
              <w:top w:val="nil"/>
              <w:bottom w:val="dashed"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Chars="61" w:left="308"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イ　</w:t>
            </w:r>
            <w:r w:rsidRPr="000F386C">
              <w:rPr>
                <w:rFonts w:ascii="ＭＳ ゴシック" w:eastAsia="ＭＳ ゴシック" w:hAnsi="ＭＳ ゴシック" w:cs="ＭＳ 明朝" w:hint="eastAsia"/>
                <w:kern w:val="0"/>
                <w:sz w:val="18"/>
                <w:szCs w:val="18"/>
                <w:lang w:val="ja-JP"/>
              </w:rPr>
              <w:t>口腔清潔・唾液分泌・咀嚼・嚥下・食事摂取等の口腔機能の低下が認められる状態の者</w:t>
            </w:r>
          </w:p>
          <w:p w:rsidR="004A0854" w:rsidRPr="000F386C" w:rsidRDefault="004A0854" w:rsidP="004A0854">
            <w:pPr>
              <w:ind w:leftChars="61" w:left="128"/>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xml:space="preserve">ロ　</w:t>
            </w:r>
            <w:r w:rsidRPr="000F386C">
              <w:rPr>
                <w:rFonts w:ascii="ＭＳ ゴシック" w:eastAsia="ＭＳ ゴシック" w:hAnsi="ＭＳ ゴシック" w:cs="ＭＳ 明朝" w:hint="eastAsia"/>
                <w:kern w:val="0"/>
                <w:sz w:val="18"/>
                <w:szCs w:val="18"/>
                <w:lang w:val="ja-JP"/>
              </w:rPr>
              <w:t>当該サービスを継続しないことにより、口腔機能が低下するおそれのある者</w:t>
            </w:r>
          </w:p>
        </w:tc>
        <w:tc>
          <w:tcPr>
            <w:tcW w:w="218"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1673C6">
        <w:trPr>
          <w:cantSplit/>
          <w:trHeight w:val="78"/>
        </w:trPr>
        <w:tc>
          <w:tcPr>
            <w:tcW w:w="1154" w:type="pct"/>
            <w:tcBorders>
              <w:top w:val="dashed"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口腔機能向上加算（Ⅱ）</w:t>
            </w: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2"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78"/>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厚生労働省への情報の提出については、ＬＩＦＥを用いて行っていますか。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ＬＩＦＥへの提出情報、提出頻度等については、「科学的介護情報システム（ＬＩＦＥ）関連加算に関する基本的考え方並びに事務処理手順及び様式例の提示について」を参照。</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1673C6">
        <w:trPr>
          <w:cantSplit/>
          <w:trHeight w:val="78"/>
        </w:trPr>
        <w:tc>
          <w:tcPr>
            <w:tcW w:w="1154" w:type="pct"/>
            <w:tcBorders>
              <w:top w:val="nil"/>
              <w:bottom w:val="single"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の質の向上を図るため、ＬＩＦＥへの提出情報及びフィードバック情報を活用し、利用者の状態に応じた口腔機能改善管理指導計画の作成（Ｐｌａｎ）、当該計画に基づく支援の提供（Ｄｏ）、当該支援内容の評価（Ｃｈｅｃｋ）、その評価結果を踏まえた当該計画の見直し・改善（Ａｃｔｉｏｎ）の一連のサイクル（ＰＤＣＡサイクル）により、サービスの質の管理を行っ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tcBorders>
              <w:top w:val="single"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科学的介護推進体制加算</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6"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下記の要件を満たし、利用者に対し指定認知症対応型通所介護を行った場合は、１月につき40単位を加算していますか。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tcBorders>
              <w:top w:val="nil"/>
              <w:bottom w:val="nil"/>
            </w:tcBorders>
            <w:shd w:val="clear" w:color="auto" w:fill="auto"/>
          </w:tcPr>
          <w:p w:rsidR="004A0854" w:rsidRPr="000F386C" w:rsidRDefault="004A0854" w:rsidP="004A0854">
            <w:pPr>
              <w:ind w:left="180" w:hangingChars="100" w:hanging="180"/>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6"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利用者ごとの</w:t>
            </w:r>
            <w:r w:rsidRPr="000F386C">
              <w:rPr>
                <w:rFonts w:ascii="ＭＳ ゴシック" w:eastAsia="ＭＳ ゴシック" w:hAnsi="ＭＳ ゴシック" w:hint="eastAsia"/>
                <w:sz w:val="18"/>
                <w:szCs w:val="18"/>
                <w:u w:val="single"/>
              </w:rPr>
              <w:t>「ＡＤＬ値、栄養状態、口腔機能、認知症の状況その他の利用者の心身の状況等」</w:t>
            </w:r>
            <w:r w:rsidRPr="000F386C">
              <w:rPr>
                <w:rFonts w:ascii="ＭＳ ゴシック" w:eastAsia="ＭＳ ゴシック" w:hAnsi="ＭＳ ゴシック" w:hint="eastAsia"/>
                <w:sz w:val="18"/>
                <w:szCs w:val="18"/>
              </w:rPr>
              <w:t>に係る基本的な情報を、厚生労働省に提出していますか。</w:t>
            </w:r>
          </w:p>
          <w:p w:rsidR="004A0854" w:rsidRPr="000F386C" w:rsidRDefault="004A0854" w:rsidP="004A0854">
            <w:pPr>
              <w:ind w:left="6"/>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tcBorders>
              <w:top w:val="nil"/>
              <w:bottom w:val="nil"/>
            </w:tcBorders>
            <w:shd w:val="clear" w:color="auto" w:fill="auto"/>
          </w:tcPr>
          <w:p w:rsidR="004A0854" w:rsidRPr="000F386C" w:rsidRDefault="004A0854" w:rsidP="004A0854">
            <w:pPr>
              <w:ind w:left="180" w:hangingChars="100" w:hanging="180"/>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6"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必要に応じて認知症対応型通所介護計画を見直すなど、指定認知症対応型通所介護の提供に当たって、上記に規定する情報その他指定認知症対応型通所介護を適切かつ有効に提供するために必要な情報を活用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tcBorders>
              <w:top w:val="nil"/>
              <w:bottom w:val="nil"/>
            </w:tcBorders>
            <w:shd w:val="clear" w:color="auto" w:fill="auto"/>
          </w:tcPr>
          <w:p w:rsidR="004A0854" w:rsidRPr="000F386C" w:rsidRDefault="004A0854" w:rsidP="004A0854">
            <w:pPr>
              <w:ind w:left="180" w:hangingChars="100" w:hanging="180"/>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6"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原則として利用者全員を対象として、利用者ごとに要件を満たした場合に、当該事業所の利用者全員に対して算定していますか。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tcBorders>
              <w:top w:val="nil"/>
              <w:bottom w:val="single" w:sz="4" w:space="0" w:color="auto"/>
            </w:tcBorders>
            <w:shd w:val="clear" w:color="auto" w:fill="auto"/>
          </w:tcPr>
          <w:p w:rsidR="004A0854" w:rsidRPr="000F386C" w:rsidRDefault="004A0854" w:rsidP="004A0854">
            <w:pPr>
              <w:ind w:left="180" w:hangingChars="100" w:hanging="180"/>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left="6"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本加算を算定していませんか。</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イ 利用者の心身の状況等に係る基本的な情報に基づき、適切なサービスを提供するためのサービス計画を作成する（Plan）。</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ロ　サービスの提供に当たっては、サービス計画に基づいて、利用者の自立支援や重度化防止に資する介護を実施する（Do）。</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ハ 　ＬＩＦＥへの提出情報及びフィードバック情報等も活用し、多職種が共同して、事業所の特性やサービス提供の在り方について検証を行う（Check）。</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ニ　検証結果に基づき、利用者のサービス計画を適切に見直し、事業所全体として、サービスの質の更なる向上に努める（Action）。</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rPr>
                <w:rFonts w:ascii="ＭＳ ゴシック" w:eastAsia="ＭＳ ゴシック" w:hAnsi="ＭＳ ゴシック"/>
                <w:sz w:val="24"/>
              </w:rP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vMerge w:val="restart"/>
            <w:tcBorders>
              <w:top w:val="single"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同一建物に居住する利用者又は同一建物から通う利用者の減算</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事業所と同一建物に居住する者又は事業所と同一建物から当該事業所に通う者に対し、指定認知症対応型通所介護を行った場合は、１日につき94単位を減算していますか。</w:t>
            </w:r>
          </w:p>
        </w:tc>
        <w:tc>
          <w:tcPr>
            <w:tcW w:w="218"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dotted"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1673C6">
        <w:trPr>
          <w:cantSplit/>
          <w:trHeight w:val="546"/>
        </w:trPr>
        <w:tc>
          <w:tcPr>
            <w:tcW w:w="1154" w:type="pct"/>
            <w:vMerge/>
            <w:tcBorders>
              <w:bottom w:val="dashSmallGap"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dotted"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同一建物とは、当該指定認知症対応型通所介護所と構造上又は外形上、一体的な建築物を指すものであり、具体的には、当該建物の1階部分に指定認知症対応型通所介護事業所がある場合や、当該建物と渡り廊下等で繋がっている場合が該当し、当該建物の管理、運営法人が当該事業所の指定認知症対応型通所介護事業者と異なる場合であっても該当す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同一敷地内にある別棟の建築物や道路を挟んで隣接する場合は該当しない。</w:t>
            </w: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8"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c>
          <w:tcPr>
            <w:tcW w:w="215" w:type="pct"/>
            <w:tcBorders>
              <w:top w:val="dotted"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rPr>
                <w:rFonts w:ascii="ＭＳ ゴシック" w:eastAsia="ＭＳ ゴシック" w:hAnsi="ＭＳ ゴシック"/>
                <w:sz w:val="24"/>
              </w:rPr>
            </w:pPr>
          </w:p>
        </w:tc>
      </w:tr>
      <w:tr w:rsidR="004A0854" w:rsidRPr="000F386C" w:rsidTr="003B2B6C">
        <w:trPr>
          <w:cantSplit/>
          <w:trHeight w:val="1680"/>
        </w:trPr>
        <w:tc>
          <w:tcPr>
            <w:tcW w:w="1154" w:type="pct"/>
            <w:tcBorders>
              <w:top w:val="dashSmallGap" w:sz="4" w:space="0" w:color="auto"/>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やむを得ない事情により送迎を行う場合の取扱いについて</w:t>
            </w: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傷病により一時的に送迎が必要であると認められる利用者その他やむを得ない事情により送迎が必要と認められる利用者に対して送迎を行った場合は、例外的に減算対象とならない。</w:t>
            </w:r>
          </w:p>
          <w:p w:rsidR="004A0854" w:rsidRPr="000F386C" w:rsidRDefault="004A0854" w:rsidP="004A0854">
            <w:pPr>
              <w:ind w:left="2"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具体的には、傷病により一時的に歩行困難となった者又は歩行困難な要介護者であって、かつ建物の構造上自力での通所が困難である者に対し、２人以上の従業者が、当該利用者の居住する場所と当該指定認知症対応型通所介護事業所の間の往復の移動を介助した場合に限られる。</w:t>
            </w:r>
          </w:p>
        </w:tc>
        <w:tc>
          <w:tcPr>
            <w:tcW w:w="218" w:type="pct"/>
            <w:tcBorders>
              <w:top w:val="single"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single"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single"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3B2B6C">
        <w:trPr>
          <w:cantSplit/>
          <w:trHeight w:val="546"/>
        </w:trPr>
        <w:tc>
          <w:tcPr>
            <w:tcW w:w="1154" w:type="pct"/>
            <w:tcBorders>
              <w:top w:val="nil"/>
              <w:bottom w:val="nil"/>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送迎を必要とする理由や、移動介助の方法及び期間について、介護支援専門員とサービス担当者会議等で慎重に検討し、その内容及び結果について認知症対応型通所介護計画に記載していますか。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187"/>
        </w:trPr>
        <w:tc>
          <w:tcPr>
            <w:tcW w:w="1154" w:type="pct"/>
            <w:tcBorders>
              <w:top w:val="nil"/>
              <w:bottom w:val="single"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移動介助者及び移動介助時の利用者の様子等について記録していますか。</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546"/>
        </w:trPr>
        <w:tc>
          <w:tcPr>
            <w:tcW w:w="1154" w:type="pct"/>
            <w:tcBorders>
              <w:top w:val="nil"/>
              <w:bottom w:val="single" w:sz="4" w:space="0" w:color="auto"/>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送迎を行わない場合の減算</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利用者に対してその居宅と指定認知症対応型通所介護事業所との間の送迎を行わない場合、片道につき47単位を減算していますか。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職員が徒歩で送迎を行った利用者又は同一建物減算の対象となっている利用者は、当該減算の対象とならない。</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480"/>
        </w:trPr>
        <w:tc>
          <w:tcPr>
            <w:tcW w:w="1154" w:type="pct"/>
            <w:vMerge w:val="restart"/>
            <w:tcBorders>
              <w:bottom w:val="nil"/>
            </w:tcBorders>
            <w:shd w:val="clear" w:color="auto" w:fill="auto"/>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サービス提供体制強化加算</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（予防含む）</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下記の要件を満たし、利用者に指定認知症対応型通所介護を行った場合、該当する区分に従い、次に掲げる所定単位数を加算していますか。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いずれかの区分でのみ算定可。</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設備を共用する本体施設の職員の総数を含めて計算を行うこと</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介護予防認知症対応型通所介護を一体的に行っている場合においては、一体的に計算を行うこと</w:t>
            </w:r>
          </w:p>
        </w:tc>
        <w:tc>
          <w:tcPr>
            <w:tcW w:w="218" w:type="pct"/>
            <w:tcBorders>
              <w:top w:val="single"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pPr>
          </w:p>
        </w:tc>
        <w:tc>
          <w:tcPr>
            <w:tcW w:w="218" w:type="pct"/>
            <w:tcBorders>
              <w:top w:val="single"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pPr>
          </w:p>
        </w:tc>
        <w:tc>
          <w:tcPr>
            <w:tcW w:w="215" w:type="pct"/>
            <w:tcBorders>
              <w:top w:val="single" w:sz="4" w:space="0" w:color="auto"/>
              <w:left w:val="single" w:sz="4" w:space="0" w:color="auto"/>
              <w:bottom w:val="single" w:sz="4" w:space="0" w:color="auto"/>
              <w:right w:val="single" w:sz="4" w:space="0" w:color="auto"/>
            </w:tcBorders>
            <w:shd w:val="clear" w:color="auto" w:fill="BFBFBF"/>
            <w:vAlign w:val="center"/>
          </w:tcPr>
          <w:p w:rsidR="004A0854" w:rsidRPr="000F386C" w:rsidRDefault="004A0854" w:rsidP="004A0854">
            <w:pPr>
              <w:jc w:val="center"/>
            </w:pPr>
          </w:p>
        </w:tc>
      </w:tr>
      <w:tr w:rsidR="004A0854" w:rsidRPr="000F386C" w:rsidTr="003B2B6C">
        <w:trPr>
          <w:cantSplit/>
          <w:trHeight w:val="293"/>
        </w:trPr>
        <w:tc>
          <w:tcPr>
            <w:tcW w:w="1154" w:type="pct"/>
            <w:vMerge/>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定員超過利用・人員基準欠如に該当していませんか。</w:t>
            </w:r>
          </w:p>
        </w:tc>
        <w:tc>
          <w:tcPr>
            <w:tcW w:w="218" w:type="pct"/>
            <w:tcBorders>
              <w:top w:val="single" w:sz="4" w:space="0" w:color="auto"/>
              <w:left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00"/>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サービス提供体制強化加算（Ⅰ）　　　　22単位</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次のいずれかに該当していますか。</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(1)　介護職員の総数のうち、介護福祉士の占める割合が100分の70以上</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(2)　介護職員の総数のうち、勤続年数10年以上の介護福祉士の占める割合が100分の25以上</w:t>
            </w:r>
          </w:p>
        </w:tc>
        <w:tc>
          <w:tcPr>
            <w:tcW w:w="218" w:type="pct"/>
            <w:tcBorders>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71596E">
        <w:trPr>
          <w:cantSplit/>
          <w:trHeight w:val="439"/>
        </w:trPr>
        <w:tc>
          <w:tcPr>
            <w:tcW w:w="1154" w:type="pct"/>
            <w:tcBorders>
              <w:top w:val="nil"/>
              <w:bottom w:val="nil"/>
            </w:tcBorders>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サービス提供体制強化加算（Ⅱ）　　　　18単位</w:t>
            </w:r>
          </w:p>
          <w:p w:rsidR="004A0854" w:rsidRPr="000F386C" w:rsidRDefault="004A0854" w:rsidP="004A0854">
            <w:pPr>
              <w:ind w:firstLineChars="100" w:firstLine="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介護職員の総数のうち、介護福祉士の占める割合が100分の50以上</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05"/>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サービス提供体制強化加算（Ⅲ） 　　　　6単位</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次のいずれかに該当していますか。</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(1)　介護職員の総数のうち、介護福祉士の占める割合が100分の40以上</w:t>
            </w:r>
          </w:p>
          <w:p w:rsidR="004A0854" w:rsidRPr="000F386C" w:rsidRDefault="004A0854" w:rsidP="004A0854">
            <w:pPr>
              <w:ind w:leftChars="100" w:left="39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(2)　サービスを利用者に直接提供する職員の総数のうち、勤続年数７年以上の者の占める割合が100分の30以上</w:t>
            </w:r>
          </w:p>
          <w:p w:rsidR="004A0854" w:rsidRPr="000F386C" w:rsidRDefault="004A0854" w:rsidP="004A0854">
            <w:pPr>
              <w:ind w:left="180" w:hangingChars="100" w:hanging="180"/>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直接提供する職員とは、生活相談員、看護職員、介護職員又は機能訓練指導員として勤務を行う職員を指す。</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70"/>
        </w:trPr>
        <w:tc>
          <w:tcPr>
            <w:tcW w:w="1154" w:type="pct"/>
            <w:tcBorders>
              <w:top w:val="dashSmallGap" w:sz="4" w:space="0" w:color="auto"/>
              <w:bottom w:val="nil"/>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職員の割合の算出について</w:t>
            </w:r>
          </w:p>
        </w:tc>
        <w:tc>
          <w:tcPr>
            <w:tcW w:w="319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常勤換算方法により算出した前年度（３月を除く）の平均を用いていますか。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05"/>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前年度の実績が６月に満たない事業所（新たに事業を開始し、又は再開した事業所含む。）については、届出日の属する月の前３月について、常勤換算方法により算出した平均を用いていますか。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新たに事業を開始し、又は再開した事業者については、４月目以降届出が可能</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05"/>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前３月の実績により届出を行った事業所については、届出を行った月以降においても、直近３月間の職員の割合につき、毎月継続的に所定の割合が維持されているとともに、その記録をしていますか。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所定の割合を下回った場合は、直ちに加算の取り下げを行うこと。</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3B2B6C">
        <w:trPr>
          <w:cantSplit/>
          <w:trHeight w:val="305"/>
        </w:trPr>
        <w:tc>
          <w:tcPr>
            <w:tcW w:w="1154" w:type="pct"/>
            <w:tcBorders>
              <w:top w:val="nil"/>
              <w:bottom w:val="nil"/>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介護福祉士については各月の前月の末日時点で資格を取得している者としていますか。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r w:rsidR="004A0854" w:rsidRPr="000F386C" w:rsidTr="002E4413">
        <w:trPr>
          <w:cantSplit/>
          <w:trHeight w:val="305"/>
        </w:trPr>
        <w:tc>
          <w:tcPr>
            <w:tcW w:w="1154" w:type="pct"/>
            <w:tcBorders>
              <w:top w:val="nil"/>
              <w:bottom w:val="single" w:sz="4" w:space="0" w:color="auto"/>
            </w:tcBorders>
            <w:vAlign w:val="center"/>
          </w:tcPr>
          <w:p w:rsidR="004A0854" w:rsidRPr="000F386C" w:rsidRDefault="004A0854" w:rsidP="004A0854">
            <w:pPr>
              <w:rPr>
                <w:rFonts w:ascii="ＭＳ ゴシック" w:eastAsia="ＭＳ ゴシック" w:hAnsi="ＭＳ ゴシック"/>
                <w:sz w:val="18"/>
                <w:szCs w:val="18"/>
              </w:rPr>
            </w:pPr>
          </w:p>
        </w:tc>
        <w:tc>
          <w:tcPr>
            <w:tcW w:w="3195" w:type="pct"/>
            <w:tcBorders>
              <w:top w:val="single" w:sz="4" w:space="0" w:color="auto"/>
              <w:left w:val="single" w:sz="4" w:space="0" w:color="auto"/>
              <w:bottom w:val="single" w:sz="4" w:space="0" w:color="auto"/>
              <w:right w:val="single" w:sz="4" w:space="0" w:color="auto"/>
            </w:tcBorders>
          </w:tcPr>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勤続年数については各月の前月の末日時点における勤続年数としていますか。</w:t>
            </w:r>
          </w:p>
          <w:p w:rsidR="004A0854" w:rsidRPr="000F386C" w:rsidRDefault="004A0854" w:rsidP="004A0854">
            <w:pPr>
              <w:rPr>
                <w:rFonts w:ascii="ＭＳ ゴシック" w:eastAsia="ＭＳ ゴシック" w:hAnsi="ＭＳ ゴシック"/>
                <w:sz w:val="18"/>
                <w:szCs w:val="18"/>
              </w:rPr>
            </w:pPr>
            <w:r w:rsidRPr="000F386C">
              <w:rPr>
                <w:rFonts w:ascii="ＭＳ ゴシック" w:eastAsia="ＭＳ ゴシック" w:hAnsi="ＭＳ ゴシック" w:hint="eastAsia"/>
                <w:sz w:val="18"/>
                <w:szCs w:val="18"/>
              </w:rPr>
              <w:t>※　当該事業所における勤続年数に加え、同一法人等の経営する他の介護サービス事業所、病院、社会福祉施設等においてサービスを利用者に直接提供する職員として勤務した年数を含めることができる。</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8"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c>
          <w:tcPr>
            <w:tcW w:w="215" w:type="pct"/>
            <w:tcBorders>
              <w:top w:val="single" w:sz="4" w:space="0" w:color="auto"/>
              <w:left w:val="single" w:sz="4" w:space="0" w:color="auto"/>
              <w:bottom w:val="single" w:sz="4" w:space="0" w:color="auto"/>
              <w:right w:val="single" w:sz="4" w:space="0" w:color="auto"/>
            </w:tcBorders>
            <w:vAlign w:val="center"/>
          </w:tcPr>
          <w:p w:rsidR="004A0854" w:rsidRPr="000F386C" w:rsidRDefault="004A0854" w:rsidP="004A0854">
            <w:pPr>
              <w:jc w:val="center"/>
            </w:pPr>
            <w:r w:rsidRPr="000F386C">
              <w:rPr>
                <w:rFonts w:ascii="ＭＳ ゴシック" w:eastAsia="ＭＳ ゴシック" w:hAnsi="ＭＳ ゴシック" w:hint="eastAsia"/>
                <w:sz w:val="24"/>
              </w:rPr>
              <w:t>□</w:t>
            </w:r>
          </w:p>
        </w:tc>
      </w:tr>
    </w:tbl>
    <w:p w:rsidR="003B2B6C" w:rsidRPr="000F386C" w:rsidRDefault="003B2B6C" w:rsidP="003B2B6C">
      <w:pPr>
        <w:rPr>
          <w:rFonts w:ascii="ＤＦ特太ゴシック体" w:eastAsia="ＤＦ特太ゴシック体" w:hAnsi="ＭＳ ゴシック"/>
        </w:rPr>
      </w:pPr>
    </w:p>
    <w:sectPr w:rsidR="003B2B6C" w:rsidRPr="000F386C" w:rsidSect="00393F79">
      <w:headerReference w:type="default" r:id="rId8"/>
      <w:footerReference w:type="default" r:id="rId9"/>
      <w:pgSz w:w="11906" w:h="16838" w:code="9"/>
      <w:pgMar w:top="851" w:right="851" w:bottom="851" w:left="851" w:header="426"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EB9" w:rsidRDefault="00322EB9">
      <w:r>
        <w:separator/>
      </w:r>
    </w:p>
  </w:endnote>
  <w:endnote w:type="continuationSeparator" w:id="0">
    <w:p w:rsidR="00322EB9" w:rsidRDefault="0032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B9" w:rsidRDefault="00322EB9">
    <w:pPr>
      <w:pStyle w:val="a8"/>
      <w:jc w:val="center"/>
    </w:pPr>
    <w:r>
      <w:fldChar w:fldCharType="begin"/>
    </w:r>
    <w:r>
      <w:instrText xml:space="preserve"> PAGE   \* MERGEFORMAT </w:instrText>
    </w:r>
    <w:r>
      <w:fldChar w:fldCharType="separate"/>
    </w:r>
    <w:r w:rsidRPr="000F386C">
      <w:rPr>
        <w:noProof/>
        <w:lang w:val="ja-JP"/>
      </w:rPr>
      <w:t>10</w:t>
    </w:r>
    <w:r>
      <w:fldChar w:fldCharType="end"/>
    </w:r>
  </w:p>
  <w:p w:rsidR="00322EB9" w:rsidRDefault="00322E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EB9" w:rsidRDefault="00322EB9">
      <w:r>
        <w:separator/>
      </w:r>
    </w:p>
  </w:footnote>
  <w:footnote w:type="continuationSeparator" w:id="0">
    <w:p w:rsidR="00322EB9" w:rsidRDefault="0032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B9" w:rsidRPr="00393F79" w:rsidRDefault="00322EB9" w:rsidP="00393F79">
    <w:pPr>
      <w:pStyle w:val="a6"/>
      <w:jc w:val="right"/>
      <w:rPr>
        <w:sz w:val="24"/>
      </w:rPr>
    </w:pPr>
    <w:r w:rsidRPr="00393F79">
      <w:rPr>
        <w:rFonts w:hint="eastAsia"/>
        <w:sz w:val="24"/>
      </w:rPr>
      <w:t>介護報酬関係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9691C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8C4495D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D72A28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36C8C9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AE0E15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2817A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AC407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18E46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963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9A63C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0054BF"/>
    <w:multiLevelType w:val="hybridMultilevel"/>
    <w:tmpl w:val="AD82E1C0"/>
    <w:lvl w:ilvl="0" w:tplc="75AE08BA">
      <w:start w:val="1"/>
      <w:numFmt w:val="decimalEnclosedCircle"/>
      <w:lvlText w:val="%1"/>
      <w:lvlJc w:val="left"/>
      <w:pPr>
        <w:tabs>
          <w:tab w:val="num" w:pos="840"/>
        </w:tabs>
        <w:ind w:left="840" w:hanging="840"/>
      </w:pPr>
      <w:rPr>
        <w:rFonts w:hint="eastAsia"/>
      </w:rPr>
    </w:lvl>
    <w:lvl w:ilvl="1" w:tplc="370E8172" w:tentative="1">
      <w:start w:val="1"/>
      <w:numFmt w:val="aiueoFullWidth"/>
      <w:lvlText w:val="(%2)"/>
      <w:lvlJc w:val="left"/>
      <w:pPr>
        <w:tabs>
          <w:tab w:val="num" w:pos="840"/>
        </w:tabs>
        <w:ind w:left="840" w:hanging="420"/>
      </w:pPr>
    </w:lvl>
    <w:lvl w:ilvl="2" w:tplc="96887916" w:tentative="1">
      <w:start w:val="1"/>
      <w:numFmt w:val="decimalEnclosedCircle"/>
      <w:lvlText w:val="%3"/>
      <w:lvlJc w:val="left"/>
      <w:pPr>
        <w:tabs>
          <w:tab w:val="num" w:pos="1260"/>
        </w:tabs>
        <w:ind w:left="1260" w:hanging="420"/>
      </w:pPr>
    </w:lvl>
    <w:lvl w:ilvl="3" w:tplc="CFD47768" w:tentative="1">
      <w:start w:val="1"/>
      <w:numFmt w:val="decimal"/>
      <w:lvlText w:val="%4."/>
      <w:lvlJc w:val="left"/>
      <w:pPr>
        <w:tabs>
          <w:tab w:val="num" w:pos="1680"/>
        </w:tabs>
        <w:ind w:left="1680" w:hanging="420"/>
      </w:pPr>
    </w:lvl>
    <w:lvl w:ilvl="4" w:tplc="5BFC430E" w:tentative="1">
      <w:start w:val="1"/>
      <w:numFmt w:val="aiueoFullWidth"/>
      <w:lvlText w:val="(%5)"/>
      <w:lvlJc w:val="left"/>
      <w:pPr>
        <w:tabs>
          <w:tab w:val="num" w:pos="2100"/>
        </w:tabs>
        <w:ind w:left="2100" w:hanging="420"/>
      </w:pPr>
    </w:lvl>
    <w:lvl w:ilvl="5" w:tplc="E22C3C46" w:tentative="1">
      <w:start w:val="1"/>
      <w:numFmt w:val="decimalEnclosedCircle"/>
      <w:lvlText w:val="%6"/>
      <w:lvlJc w:val="left"/>
      <w:pPr>
        <w:tabs>
          <w:tab w:val="num" w:pos="2520"/>
        </w:tabs>
        <w:ind w:left="2520" w:hanging="420"/>
      </w:pPr>
    </w:lvl>
    <w:lvl w:ilvl="6" w:tplc="CE4E3A50" w:tentative="1">
      <w:start w:val="1"/>
      <w:numFmt w:val="decimal"/>
      <w:lvlText w:val="%7."/>
      <w:lvlJc w:val="left"/>
      <w:pPr>
        <w:tabs>
          <w:tab w:val="num" w:pos="2940"/>
        </w:tabs>
        <w:ind w:left="2940" w:hanging="420"/>
      </w:pPr>
    </w:lvl>
    <w:lvl w:ilvl="7" w:tplc="70EC91D8" w:tentative="1">
      <w:start w:val="1"/>
      <w:numFmt w:val="aiueoFullWidth"/>
      <w:lvlText w:val="(%8)"/>
      <w:lvlJc w:val="left"/>
      <w:pPr>
        <w:tabs>
          <w:tab w:val="num" w:pos="3360"/>
        </w:tabs>
        <w:ind w:left="3360" w:hanging="420"/>
      </w:pPr>
    </w:lvl>
    <w:lvl w:ilvl="8" w:tplc="A5EE04BA" w:tentative="1">
      <w:start w:val="1"/>
      <w:numFmt w:val="decimalEnclosedCircle"/>
      <w:lvlText w:val="%9"/>
      <w:lvlJc w:val="left"/>
      <w:pPr>
        <w:tabs>
          <w:tab w:val="num" w:pos="3780"/>
        </w:tabs>
        <w:ind w:left="3780" w:hanging="420"/>
      </w:pPr>
    </w:lvl>
  </w:abstractNum>
  <w:abstractNum w:abstractNumId="11" w15:restartNumberingAfterBreak="0">
    <w:nsid w:val="06C42C15"/>
    <w:multiLevelType w:val="hybridMultilevel"/>
    <w:tmpl w:val="8C2C1974"/>
    <w:lvl w:ilvl="0" w:tplc="62722938">
      <w:start w:val="1"/>
      <w:numFmt w:val="decimalFullWidth"/>
      <w:lvlText w:val="（%1）"/>
      <w:lvlJc w:val="left"/>
      <w:pPr>
        <w:tabs>
          <w:tab w:val="num" w:pos="920"/>
        </w:tabs>
        <w:ind w:left="920" w:hanging="720"/>
      </w:pPr>
      <w:rPr>
        <w:rFonts w:hint="eastAsia"/>
      </w:rPr>
    </w:lvl>
    <w:lvl w:ilvl="1" w:tplc="9572C428" w:tentative="1">
      <w:start w:val="1"/>
      <w:numFmt w:val="aiueoFullWidth"/>
      <w:lvlText w:val="(%2)"/>
      <w:lvlJc w:val="left"/>
      <w:pPr>
        <w:tabs>
          <w:tab w:val="num" w:pos="1040"/>
        </w:tabs>
        <w:ind w:left="1040" w:hanging="420"/>
      </w:pPr>
    </w:lvl>
    <w:lvl w:ilvl="2" w:tplc="D13A377A" w:tentative="1">
      <w:start w:val="1"/>
      <w:numFmt w:val="decimalEnclosedCircle"/>
      <w:lvlText w:val="%3"/>
      <w:lvlJc w:val="left"/>
      <w:pPr>
        <w:tabs>
          <w:tab w:val="num" w:pos="1460"/>
        </w:tabs>
        <w:ind w:left="1460" w:hanging="420"/>
      </w:pPr>
    </w:lvl>
    <w:lvl w:ilvl="3" w:tplc="A9A49A34" w:tentative="1">
      <w:start w:val="1"/>
      <w:numFmt w:val="decimal"/>
      <w:lvlText w:val="%4."/>
      <w:lvlJc w:val="left"/>
      <w:pPr>
        <w:tabs>
          <w:tab w:val="num" w:pos="1880"/>
        </w:tabs>
        <w:ind w:left="1880" w:hanging="420"/>
      </w:pPr>
    </w:lvl>
    <w:lvl w:ilvl="4" w:tplc="3DDC94C8" w:tentative="1">
      <w:start w:val="1"/>
      <w:numFmt w:val="aiueoFullWidth"/>
      <w:lvlText w:val="(%5)"/>
      <w:lvlJc w:val="left"/>
      <w:pPr>
        <w:tabs>
          <w:tab w:val="num" w:pos="2300"/>
        </w:tabs>
        <w:ind w:left="2300" w:hanging="420"/>
      </w:pPr>
    </w:lvl>
    <w:lvl w:ilvl="5" w:tplc="5D0AB6A8" w:tentative="1">
      <w:start w:val="1"/>
      <w:numFmt w:val="decimalEnclosedCircle"/>
      <w:lvlText w:val="%6"/>
      <w:lvlJc w:val="left"/>
      <w:pPr>
        <w:tabs>
          <w:tab w:val="num" w:pos="2720"/>
        </w:tabs>
        <w:ind w:left="2720" w:hanging="420"/>
      </w:pPr>
    </w:lvl>
    <w:lvl w:ilvl="6" w:tplc="D0E0C274" w:tentative="1">
      <w:start w:val="1"/>
      <w:numFmt w:val="decimal"/>
      <w:lvlText w:val="%7."/>
      <w:lvlJc w:val="left"/>
      <w:pPr>
        <w:tabs>
          <w:tab w:val="num" w:pos="3140"/>
        </w:tabs>
        <w:ind w:left="3140" w:hanging="420"/>
      </w:pPr>
    </w:lvl>
    <w:lvl w:ilvl="7" w:tplc="533A6256" w:tentative="1">
      <w:start w:val="1"/>
      <w:numFmt w:val="aiueoFullWidth"/>
      <w:lvlText w:val="(%8)"/>
      <w:lvlJc w:val="left"/>
      <w:pPr>
        <w:tabs>
          <w:tab w:val="num" w:pos="3560"/>
        </w:tabs>
        <w:ind w:left="3560" w:hanging="420"/>
      </w:pPr>
    </w:lvl>
    <w:lvl w:ilvl="8" w:tplc="DAE2ABE8" w:tentative="1">
      <w:start w:val="1"/>
      <w:numFmt w:val="decimalEnclosedCircle"/>
      <w:lvlText w:val="%9"/>
      <w:lvlJc w:val="left"/>
      <w:pPr>
        <w:tabs>
          <w:tab w:val="num" w:pos="3980"/>
        </w:tabs>
        <w:ind w:left="3980" w:hanging="420"/>
      </w:pPr>
    </w:lvl>
  </w:abstractNum>
  <w:abstractNum w:abstractNumId="12" w15:restartNumberingAfterBreak="0">
    <w:nsid w:val="09BA4FE7"/>
    <w:multiLevelType w:val="hybridMultilevel"/>
    <w:tmpl w:val="73B42260"/>
    <w:lvl w:ilvl="0" w:tplc="11BA8AFE">
      <w:start w:val="2"/>
      <w:numFmt w:val="bullet"/>
      <w:lvlText w:val="・"/>
      <w:lvlJc w:val="left"/>
      <w:pPr>
        <w:tabs>
          <w:tab w:val="num" w:pos="960"/>
        </w:tabs>
        <w:ind w:left="960" w:hanging="360"/>
      </w:pPr>
      <w:rPr>
        <w:rFonts w:ascii="Times New Roman" w:eastAsia="ＭＳ ゴシック" w:hAnsi="Times New Roman" w:cs="Times New Roman" w:hint="default"/>
      </w:rPr>
    </w:lvl>
    <w:lvl w:ilvl="1" w:tplc="98906B24" w:tentative="1">
      <w:start w:val="1"/>
      <w:numFmt w:val="bullet"/>
      <w:lvlText w:val=""/>
      <w:lvlJc w:val="left"/>
      <w:pPr>
        <w:tabs>
          <w:tab w:val="num" w:pos="1440"/>
        </w:tabs>
        <w:ind w:left="1440" w:hanging="420"/>
      </w:pPr>
      <w:rPr>
        <w:rFonts w:ascii="Wingdings" w:hAnsi="Wingdings" w:hint="default"/>
      </w:rPr>
    </w:lvl>
    <w:lvl w:ilvl="2" w:tplc="B8EA8764" w:tentative="1">
      <w:start w:val="1"/>
      <w:numFmt w:val="bullet"/>
      <w:lvlText w:val=""/>
      <w:lvlJc w:val="left"/>
      <w:pPr>
        <w:tabs>
          <w:tab w:val="num" w:pos="1860"/>
        </w:tabs>
        <w:ind w:left="1860" w:hanging="420"/>
      </w:pPr>
      <w:rPr>
        <w:rFonts w:ascii="Wingdings" w:hAnsi="Wingdings" w:hint="default"/>
      </w:rPr>
    </w:lvl>
    <w:lvl w:ilvl="3" w:tplc="78DAA4B0" w:tentative="1">
      <w:start w:val="1"/>
      <w:numFmt w:val="bullet"/>
      <w:lvlText w:val=""/>
      <w:lvlJc w:val="left"/>
      <w:pPr>
        <w:tabs>
          <w:tab w:val="num" w:pos="2280"/>
        </w:tabs>
        <w:ind w:left="2280" w:hanging="420"/>
      </w:pPr>
      <w:rPr>
        <w:rFonts w:ascii="Wingdings" w:hAnsi="Wingdings" w:hint="default"/>
      </w:rPr>
    </w:lvl>
    <w:lvl w:ilvl="4" w:tplc="60FE658E" w:tentative="1">
      <w:start w:val="1"/>
      <w:numFmt w:val="bullet"/>
      <w:lvlText w:val=""/>
      <w:lvlJc w:val="left"/>
      <w:pPr>
        <w:tabs>
          <w:tab w:val="num" w:pos="2700"/>
        </w:tabs>
        <w:ind w:left="2700" w:hanging="420"/>
      </w:pPr>
      <w:rPr>
        <w:rFonts w:ascii="Wingdings" w:hAnsi="Wingdings" w:hint="default"/>
      </w:rPr>
    </w:lvl>
    <w:lvl w:ilvl="5" w:tplc="91B073E0" w:tentative="1">
      <w:start w:val="1"/>
      <w:numFmt w:val="bullet"/>
      <w:lvlText w:val=""/>
      <w:lvlJc w:val="left"/>
      <w:pPr>
        <w:tabs>
          <w:tab w:val="num" w:pos="3120"/>
        </w:tabs>
        <w:ind w:left="3120" w:hanging="420"/>
      </w:pPr>
      <w:rPr>
        <w:rFonts w:ascii="Wingdings" w:hAnsi="Wingdings" w:hint="default"/>
      </w:rPr>
    </w:lvl>
    <w:lvl w:ilvl="6" w:tplc="EAA688FE" w:tentative="1">
      <w:start w:val="1"/>
      <w:numFmt w:val="bullet"/>
      <w:lvlText w:val=""/>
      <w:lvlJc w:val="left"/>
      <w:pPr>
        <w:tabs>
          <w:tab w:val="num" w:pos="3540"/>
        </w:tabs>
        <w:ind w:left="3540" w:hanging="420"/>
      </w:pPr>
      <w:rPr>
        <w:rFonts w:ascii="Wingdings" w:hAnsi="Wingdings" w:hint="default"/>
      </w:rPr>
    </w:lvl>
    <w:lvl w:ilvl="7" w:tplc="FDF4198C" w:tentative="1">
      <w:start w:val="1"/>
      <w:numFmt w:val="bullet"/>
      <w:lvlText w:val=""/>
      <w:lvlJc w:val="left"/>
      <w:pPr>
        <w:tabs>
          <w:tab w:val="num" w:pos="3960"/>
        </w:tabs>
        <w:ind w:left="3960" w:hanging="420"/>
      </w:pPr>
      <w:rPr>
        <w:rFonts w:ascii="Wingdings" w:hAnsi="Wingdings" w:hint="default"/>
      </w:rPr>
    </w:lvl>
    <w:lvl w:ilvl="8" w:tplc="58B6A700" w:tentative="1">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11BD24AC"/>
    <w:multiLevelType w:val="hybridMultilevel"/>
    <w:tmpl w:val="899C8D8A"/>
    <w:lvl w:ilvl="0" w:tplc="AF48F21C">
      <w:start w:val="2"/>
      <w:numFmt w:val="bullet"/>
      <w:lvlText w:val="・"/>
      <w:lvlJc w:val="left"/>
      <w:pPr>
        <w:tabs>
          <w:tab w:val="num" w:pos="780"/>
        </w:tabs>
        <w:ind w:left="780" w:hanging="360"/>
      </w:pPr>
      <w:rPr>
        <w:rFonts w:ascii="Times New Roman" w:eastAsia="ＭＳ ゴシック" w:hAnsi="Times New Roman" w:cs="Times New Roman" w:hint="default"/>
      </w:rPr>
    </w:lvl>
    <w:lvl w:ilvl="1" w:tplc="A6FEE726" w:tentative="1">
      <w:start w:val="1"/>
      <w:numFmt w:val="bullet"/>
      <w:lvlText w:val=""/>
      <w:lvlJc w:val="left"/>
      <w:pPr>
        <w:tabs>
          <w:tab w:val="num" w:pos="1260"/>
        </w:tabs>
        <w:ind w:left="1260" w:hanging="420"/>
      </w:pPr>
      <w:rPr>
        <w:rFonts w:ascii="Wingdings" w:hAnsi="Wingdings" w:hint="default"/>
      </w:rPr>
    </w:lvl>
    <w:lvl w:ilvl="2" w:tplc="5D98056E" w:tentative="1">
      <w:start w:val="1"/>
      <w:numFmt w:val="bullet"/>
      <w:lvlText w:val=""/>
      <w:lvlJc w:val="left"/>
      <w:pPr>
        <w:tabs>
          <w:tab w:val="num" w:pos="1680"/>
        </w:tabs>
        <w:ind w:left="1680" w:hanging="420"/>
      </w:pPr>
      <w:rPr>
        <w:rFonts w:ascii="Wingdings" w:hAnsi="Wingdings" w:hint="default"/>
      </w:rPr>
    </w:lvl>
    <w:lvl w:ilvl="3" w:tplc="925AF0DC" w:tentative="1">
      <w:start w:val="1"/>
      <w:numFmt w:val="bullet"/>
      <w:lvlText w:val=""/>
      <w:lvlJc w:val="left"/>
      <w:pPr>
        <w:tabs>
          <w:tab w:val="num" w:pos="2100"/>
        </w:tabs>
        <w:ind w:left="2100" w:hanging="420"/>
      </w:pPr>
      <w:rPr>
        <w:rFonts w:ascii="Wingdings" w:hAnsi="Wingdings" w:hint="default"/>
      </w:rPr>
    </w:lvl>
    <w:lvl w:ilvl="4" w:tplc="C1462B9C" w:tentative="1">
      <w:start w:val="1"/>
      <w:numFmt w:val="bullet"/>
      <w:lvlText w:val=""/>
      <w:lvlJc w:val="left"/>
      <w:pPr>
        <w:tabs>
          <w:tab w:val="num" w:pos="2520"/>
        </w:tabs>
        <w:ind w:left="2520" w:hanging="420"/>
      </w:pPr>
      <w:rPr>
        <w:rFonts w:ascii="Wingdings" w:hAnsi="Wingdings" w:hint="default"/>
      </w:rPr>
    </w:lvl>
    <w:lvl w:ilvl="5" w:tplc="5DA60A8E" w:tentative="1">
      <w:start w:val="1"/>
      <w:numFmt w:val="bullet"/>
      <w:lvlText w:val=""/>
      <w:lvlJc w:val="left"/>
      <w:pPr>
        <w:tabs>
          <w:tab w:val="num" w:pos="2940"/>
        </w:tabs>
        <w:ind w:left="2940" w:hanging="420"/>
      </w:pPr>
      <w:rPr>
        <w:rFonts w:ascii="Wingdings" w:hAnsi="Wingdings" w:hint="default"/>
      </w:rPr>
    </w:lvl>
    <w:lvl w:ilvl="6" w:tplc="35B6F28C" w:tentative="1">
      <w:start w:val="1"/>
      <w:numFmt w:val="bullet"/>
      <w:lvlText w:val=""/>
      <w:lvlJc w:val="left"/>
      <w:pPr>
        <w:tabs>
          <w:tab w:val="num" w:pos="3360"/>
        </w:tabs>
        <w:ind w:left="3360" w:hanging="420"/>
      </w:pPr>
      <w:rPr>
        <w:rFonts w:ascii="Wingdings" w:hAnsi="Wingdings" w:hint="default"/>
      </w:rPr>
    </w:lvl>
    <w:lvl w:ilvl="7" w:tplc="9DF084B8" w:tentative="1">
      <w:start w:val="1"/>
      <w:numFmt w:val="bullet"/>
      <w:lvlText w:val=""/>
      <w:lvlJc w:val="left"/>
      <w:pPr>
        <w:tabs>
          <w:tab w:val="num" w:pos="3780"/>
        </w:tabs>
        <w:ind w:left="3780" w:hanging="420"/>
      </w:pPr>
      <w:rPr>
        <w:rFonts w:ascii="Wingdings" w:hAnsi="Wingdings" w:hint="default"/>
      </w:rPr>
    </w:lvl>
    <w:lvl w:ilvl="8" w:tplc="16228CDA"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E4422"/>
    <w:multiLevelType w:val="hybridMultilevel"/>
    <w:tmpl w:val="7D2C81EC"/>
    <w:lvl w:ilvl="0" w:tplc="AFBA1E7A">
      <w:start w:val="1"/>
      <w:numFmt w:val="decimalEnclosedCircle"/>
      <w:lvlText w:val="%1"/>
      <w:lvlJc w:val="left"/>
      <w:pPr>
        <w:tabs>
          <w:tab w:val="num" w:pos="360"/>
        </w:tabs>
        <w:ind w:left="360" w:hanging="360"/>
      </w:pPr>
      <w:rPr>
        <w:rFonts w:hint="eastAsia"/>
      </w:rPr>
    </w:lvl>
    <w:lvl w:ilvl="1" w:tplc="B76AF09E" w:tentative="1">
      <w:start w:val="1"/>
      <w:numFmt w:val="aiueoFullWidth"/>
      <w:lvlText w:val="(%2)"/>
      <w:lvlJc w:val="left"/>
      <w:pPr>
        <w:tabs>
          <w:tab w:val="num" w:pos="840"/>
        </w:tabs>
        <w:ind w:left="840" w:hanging="420"/>
      </w:pPr>
    </w:lvl>
    <w:lvl w:ilvl="2" w:tplc="91DE8B28" w:tentative="1">
      <w:start w:val="1"/>
      <w:numFmt w:val="decimalEnclosedCircle"/>
      <w:lvlText w:val="%3"/>
      <w:lvlJc w:val="left"/>
      <w:pPr>
        <w:tabs>
          <w:tab w:val="num" w:pos="1260"/>
        </w:tabs>
        <w:ind w:left="1260" w:hanging="420"/>
      </w:pPr>
    </w:lvl>
    <w:lvl w:ilvl="3" w:tplc="28DA88DE" w:tentative="1">
      <w:start w:val="1"/>
      <w:numFmt w:val="decimal"/>
      <w:lvlText w:val="%4."/>
      <w:lvlJc w:val="left"/>
      <w:pPr>
        <w:tabs>
          <w:tab w:val="num" w:pos="1680"/>
        </w:tabs>
        <w:ind w:left="1680" w:hanging="420"/>
      </w:pPr>
    </w:lvl>
    <w:lvl w:ilvl="4" w:tplc="17FC74BA" w:tentative="1">
      <w:start w:val="1"/>
      <w:numFmt w:val="aiueoFullWidth"/>
      <w:lvlText w:val="(%5)"/>
      <w:lvlJc w:val="left"/>
      <w:pPr>
        <w:tabs>
          <w:tab w:val="num" w:pos="2100"/>
        </w:tabs>
        <w:ind w:left="2100" w:hanging="420"/>
      </w:pPr>
    </w:lvl>
    <w:lvl w:ilvl="5" w:tplc="A0043296" w:tentative="1">
      <w:start w:val="1"/>
      <w:numFmt w:val="decimalEnclosedCircle"/>
      <w:lvlText w:val="%6"/>
      <w:lvlJc w:val="left"/>
      <w:pPr>
        <w:tabs>
          <w:tab w:val="num" w:pos="2520"/>
        </w:tabs>
        <w:ind w:left="2520" w:hanging="420"/>
      </w:pPr>
    </w:lvl>
    <w:lvl w:ilvl="6" w:tplc="0FA0D38E" w:tentative="1">
      <w:start w:val="1"/>
      <w:numFmt w:val="decimal"/>
      <w:lvlText w:val="%7."/>
      <w:lvlJc w:val="left"/>
      <w:pPr>
        <w:tabs>
          <w:tab w:val="num" w:pos="2940"/>
        </w:tabs>
        <w:ind w:left="2940" w:hanging="420"/>
      </w:pPr>
    </w:lvl>
    <w:lvl w:ilvl="7" w:tplc="8BD29006" w:tentative="1">
      <w:start w:val="1"/>
      <w:numFmt w:val="aiueoFullWidth"/>
      <w:lvlText w:val="(%8)"/>
      <w:lvlJc w:val="left"/>
      <w:pPr>
        <w:tabs>
          <w:tab w:val="num" w:pos="3360"/>
        </w:tabs>
        <w:ind w:left="3360" w:hanging="420"/>
      </w:pPr>
    </w:lvl>
    <w:lvl w:ilvl="8" w:tplc="C4DE2F90" w:tentative="1">
      <w:start w:val="1"/>
      <w:numFmt w:val="decimalEnclosedCircle"/>
      <w:lvlText w:val="%9"/>
      <w:lvlJc w:val="left"/>
      <w:pPr>
        <w:tabs>
          <w:tab w:val="num" w:pos="3780"/>
        </w:tabs>
        <w:ind w:left="3780" w:hanging="420"/>
      </w:pPr>
    </w:lvl>
  </w:abstractNum>
  <w:abstractNum w:abstractNumId="15" w15:restartNumberingAfterBreak="0">
    <w:nsid w:val="297C2822"/>
    <w:multiLevelType w:val="hybridMultilevel"/>
    <w:tmpl w:val="952ADE2A"/>
    <w:lvl w:ilvl="0" w:tplc="DA326AF2">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631C962A" w:tentative="1">
      <w:start w:val="1"/>
      <w:numFmt w:val="aiueoFullWidth"/>
      <w:lvlText w:val="(%2)"/>
      <w:lvlJc w:val="left"/>
      <w:pPr>
        <w:tabs>
          <w:tab w:val="num" w:pos="1055"/>
        </w:tabs>
        <w:ind w:left="1055" w:hanging="420"/>
      </w:pPr>
    </w:lvl>
    <w:lvl w:ilvl="2" w:tplc="30C0A7F8" w:tentative="1">
      <w:start w:val="1"/>
      <w:numFmt w:val="decimalEnclosedCircle"/>
      <w:lvlText w:val="%3"/>
      <w:lvlJc w:val="left"/>
      <w:pPr>
        <w:tabs>
          <w:tab w:val="num" w:pos="1475"/>
        </w:tabs>
        <w:ind w:left="1475" w:hanging="420"/>
      </w:pPr>
    </w:lvl>
    <w:lvl w:ilvl="3" w:tplc="461E5334" w:tentative="1">
      <w:start w:val="1"/>
      <w:numFmt w:val="decimal"/>
      <w:lvlText w:val="%4."/>
      <w:lvlJc w:val="left"/>
      <w:pPr>
        <w:tabs>
          <w:tab w:val="num" w:pos="1895"/>
        </w:tabs>
        <w:ind w:left="1895" w:hanging="420"/>
      </w:pPr>
    </w:lvl>
    <w:lvl w:ilvl="4" w:tplc="7A36EC36" w:tentative="1">
      <w:start w:val="1"/>
      <w:numFmt w:val="aiueoFullWidth"/>
      <w:lvlText w:val="(%5)"/>
      <w:lvlJc w:val="left"/>
      <w:pPr>
        <w:tabs>
          <w:tab w:val="num" w:pos="2315"/>
        </w:tabs>
        <w:ind w:left="2315" w:hanging="420"/>
      </w:pPr>
    </w:lvl>
    <w:lvl w:ilvl="5" w:tplc="6AF2288C" w:tentative="1">
      <w:start w:val="1"/>
      <w:numFmt w:val="decimalEnclosedCircle"/>
      <w:lvlText w:val="%6"/>
      <w:lvlJc w:val="left"/>
      <w:pPr>
        <w:tabs>
          <w:tab w:val="num" w:pos="2735"/>
        </w:tabs>
        <w:ind w:left="2735" w:hanging="420"/>
      </w:pPr>
    </w:lvl>
    <w:lvl w:ilvl="6" w:tplc="0D526274" w:tentative="1">
      <w:start w:val="1"/>
      <w:numFmt w:val="decimal"/>
      <w:lvlText w:val="%7."/>
      <w:lvlJc w:val="left"/>
      <w:pPr>
        <w:tabs>
          <w:tab w:val="num" w:pos="3155"/>
        </w:tabs>
        <w:ind w:left="3155" w:hanging="420"/>
      </w:pPr>
    </w:lvl>
    <w:lvl w:ilvl="7" w:tplc="7F5ED57C" w:tentative="1">
      <w:start w:val="1"/>
      <w:numFmt w:val="aiueoFullWidth"/>
      <w:lvlText w:val="(%8)"/>
      <w:lvlJc w:val="left"/>
      <w:pPr>
        <w:tabs>
          <w:tab w:val="num" w:pos="3575"/>
        </w:tabs>
        <w:ind w:left="3575" w:hanging="420"/>
      </w:pPr>
    </w:lvl>
    <w:lvl w:ilvl="8" w:tplc="ABAA1192" w:tentative="1">
      <w:start w:val="1"/>
      <w:numFmt w:val="decimalEnclosedCircle"/>
      <w:lvlText w:val="%9"/>
      <w:lvlJc w:val="left"/>
      <w:pPr>
        <w:tabs>
          <w:tab w:val="num" w:pos="3995"/>
        </w:tabs>
        <w:ind w:left="3995" w:hanging="420"/>
      </w:pPr>
    </w:lvl>
  </w:abstractNum>
  <w:abstractNum w:abstractNumId="16" w15:restartNumberingAfterBreak="0">
    <w:nsid w:val="2F7A1DDA"/>
    <w:multiLevelType w:val="hybridMultilevel"/>
    <w:tmpl w:val="6866711E"/>
    <w:lvl w:ilvl="0" w:tplc="4BBCE8A8">
      <w:start w:val="2"/>
      <w:numFmt w:val="bullet"/>
      <w:lvlText w:val="・"/>
      <w:lvlJc w:val="left"/>
      <w:pPr>
        <w:tabs>
          <w:tab w:val="num" w:pos="750"/>
        </w:tabs>
        <w:ind w:left="750" w:hanging="360"/>
      </w:pPr>
      <w:rPr>
        <w:rFonts w:ascii="Times New Roman" w:eastAsia="ＭＳ ゴシック" w:hAnsi="Times New Roman" w:cs="Times New Roman" w:hint="default"/>
      </w:rPr>
    </w:lvl>
    <w:lvl w:ilvl="1" w:tplc="06C6363C" w:tentative="1">
      <w:start w:val="1"/>
      <w:numFmt w:val="bullet"/>
      <w:lvlText w:val=""/>
      <w:lvlJc w:val="left"/>
      <w:pPr>
        <w:tabs>
          <w:tab w:val="num" w:pos="1230"/>
        </w:tabs>
        <w:ind w:left="1230" w:hanging="420"/>
      </w:pPr>
      <w:rPr>
        <w:rFonts w:ascii="Wingdings" w:hAnsi="Wingdings" w:hint="default"/>
      </w:rPr>
    </w:lvl>
    <w:lvl w:ilvl="2" w:tplc="2E364A3A" w:tentative="1">
      <w:start w:val="1"/>
      <w:numFmt w:val="bullet"/>
      <w:lvlText w:val=""/>
      <w:lvlJc w:val="left"/>
      <w:pPr>
        <w:tabs>
          <w:tab w:val="num" w:pos="1650"/>
        </w:tabs>
        <w:ind w:left="1650" w:hanging="420"/>
      </w:pPr>
      <w:rPr>
        <w:rFonts w:ascii="Wingdings" w:hAnsi="Wingdings" w:hint="default"/>
      </w:rPr>
    </w:lvl>
    <w:lvl w:ilvl="3" w:tplc="05DC1CF0" w:tentative="1">
      <w:start w:val="1"/>
      <w:numFmt w:val="bullet"/>
      <w:lvlText w:val=""/>
      <w:lvlJc w:val="left"/>
      <w:pPr>
        <w:tabs>
          <w:tab w:val="num" w:pos="2070"/>
        </w:tabs>
        <w:ind w:left="2070" w:hanging="420"/>
      </w:pPr>
      <w:rPr>
        <w:rFonts w:ascii="Wingdings" w:hAnsi="Wingdings" w:hint="default"/>
      </w:rPr>
    </w:lvl>
    <w:lvl w:ilvl="4" w:tplc="6F04855C" w:tentative="1">
      <w:start w:val="1"/>
      <w:numFmt w:val="bullet"/>
      <w:lvlText w:val=""/>
      <w:lvlJc w:val="left"/>
      <w:pPr>
        <w:tabs>
          <w:tab w:val="num" w:pos="2490"/>
        </w:tabs>
        <w:ind w:left="2490" w:hanging="420"/>
      </w:pPr>
      <w:rPr>
        <w:rFonts w:ascii="Wingdings" w:hAnsi="Wingdings" w:hint="default"/>
      </w:rPr>
    </w:lvl>
    <w:lvl w:ilvl="5" w:tplc="A5D457FC" w:tentative="1">
      <w:start w:val="1"/>
      <w:numFmt w:val="bullet"/>
      <w:lvlText w:val=""/>
      <w:lvlJc w:val="left"/>
      <w:pPr>
        <w:tabs>
          <w:tab w:val="num" w:pos="2910"/>
        </w:tabs>
        <w:ind w:left="2910" w:hanging="420"/>
      </w:pPr>
      <w:rPr>
        <w:rFonts w:ascii="Wingdings" w:hAnsi="Wingdings" w:hint="default"/>
      </w:rPr>
    </w:lvl>
    <w:lvl w:ilvl="6" w:tplc="BE566ABA" w:tentative="1">
      <w:start w:val="1"/>
      <w:numFmt w:val="bullet"/>
      <w:lvlText w:val=""/>
      <w:lvlJc w:val="left"/>
      <w:pPr>
        <w:tabs>
          <w:tab w:val="num" w:pos="3330"/>
        </w:tabs>
        <w:ind w:left="3330" w:hanging="420"/>
      </w:pPr>
      <w:rPr>
        <w:rFonts w:ascii="Wingdings" w:hAnsi="Wingdings" w:hint="default"/>
      </w:rPr>
    </w:lvl>
    <w:lvl w:ilvl="7" w:tplc="F8068FB0" w:tentative="1">
      <w:start w:val="1"/>
      <w:numFmt w:val="bullet"/>
      <w:lvlText w:val=""/>
      <w:lvlJc w:val="left"/>
      <w:pPr>
        <w:tabs>
          <w:tab w:val="num" w:pos="3750"/>
        </w:tabs>
        <w:ind w:left="3750" w:hanging="420"/>
      </w:pPr>
      <w:rPr>
        <w:rFonts w:ascii="Wingdings" w:hAnsi="Wingdings" w:hint="default"/>
      </w:rPr>
    </w:lvl>
    <w:lvl w:ilvl="8" w:tplc="CABAF39A" w:tentative="1">
      <w:start w:val="1"/>
      <w:numFmt w:val="bullet"/>
      <w:lvlText w:val=""/>
      <w:lvlJc w:val="left"/>
      <w:pPr>
        <w:tabs>
          <w:tab w:val="num" w:pos="4170"/>
        </w:tabs>
        <w:ind w:left="4170" w:hanging="420"/>
      </w:pPr>
      <w:rPr>
        <w:rFonts w:ascii="Wingdings" w:hAnsi="Wingdings" w:hint="default"/>
      </w:rPr>
    </w:lvl>
  </w:abstractNum>
  <w:abstractNum w:abstractNumId="17" w15:restartNumberingAfterBreak="0">
    <w:nsid w:val="30E633B8"/>
    <w:multiLevelType w:val="hybridMultilevel"/>
    <w:tmpl w:val="69102640"/>
    <w:lvl w:ilvl="0" w:tplc="6A2693F4">
      <w:start w:val="1"/>
      <w:numFmt w:val="decimal"/>
      <w:lvlText w:val="(%1)"/>
      <w:lvlJc w:val="left"/>
      <w:pPr>
        <w:ind w:left="720" w:hanging="360"/>
      </w:pPr>
      <w:rPr>
        <w:rFonts w:hint="eastAsia"/>
      </w:rPr>
    </w:lvl>
    <w:lvl w:ilvl="1" w:tplc="A076367A" w:tentative="1">
      <w:start w:val="1"/>
      <w:numFmt w:val="aiueoFullWidth"/>
      <w:lvlText w:val="(%2)"/>
      <w:lvlJc w:val="left"/>
      <w:pPr>
        <w:ind w:left="1200" w:hanging="420"/>
      </w:pPr>
    </w:lvl>
    <w:lvl w:ilvl="2" w:tplc="332C82A2" w:tentative="1">
      <w:start w:val="1"/>
      <w:numFmt w:val="decimalEnclosedCircle"/>
      <w:lvlText w:val="%3"/>
      <w:lvlJc w:val="left"/>
      <w:pPr>
        <w:ind w:left="1620" w:hanging="420"/>
      </w:pPr>
    </w:lvl>
    <w:lvl w:ilvl="3" w:tplc="EFB481B8" w:tentative="1">
      <w:start w:val="1"/>
      <w:numFmt w:val="decimal"/>
      <w:lvlText w:val="%4."/>
      <w:lvlJc w:val="left"/>
      <w:pPr>
        <w:ind w:left="2040" w:hanging="420"/>
      </w:pPr>
    </w:lvl>
    <w:lvl w:ilvl="4" w:tplc="FBEC33A6" w:tentative="1">
      <w:start w:val="1"/>
      <w:numFmt w:val="aiueoFullWidth"/>
      <w:lvlText w:val="(%5)"/>
      <w:lvlJc w:val="left"/>
      <w:pPr>
        <w:ind w:left="2460" w:hanging="420"/>
      </w:pPr>
    </w:lvl>
    <w:lvl w:ilvl="5" w:tplc="E9DA0498" w:tentative="1">
      <w:start w:val="1"/>
      <w:numFmt w:val="decimalEnclosedCircle"/>
      <w:lvlText w:val="%6"/>
      <w:lvlJc w:val="left"/>
      <w:pPr>
        <w:ind w:left="2880" w:hanging="420"/>
      </w:pPr>
    </w:lvl>
    <w:lvl w:ilvl="6" w:tplc="B6F0A9CC" w:tentative="1">
      <w:start w:val="1"/>
      <w:numFmt w:val="decimal"/>
      <w:lvlText w:val="%7."/>
      <w:lvlJc w:val="left"/>
      <w:pPr>
        <w:ind w:left="3300" w:hanging="420"/>
      </w:pPr>
    </w:lvl>
    <w:lvl w:ilvl="7" w:tplc="AB36E998" w:tentative="1">
      <w:start w:val="1"/>
      <w:numFmt w:val="aiueoFullWidth"/>
      <w:lvlText w:val="(%8)"/>
      <w:lvlJc w:val="left"/>
      <w:pPr>
        <w:ind w:left="3720" w:hanging="420"/>
      </w:pPr>
    </w:lvl>
    <w:lvl w:ilvl="8" w:tplc="2E6A2700" w:tentative="1">
      <w:start w:val="1"/>
      <w:numFmt w:val="decimalEnclosedCircle"/>
      <w:lvlText w:val="%9"/>
      <w:lvlJc w:val="left"/>
      <w:pPr>
        <w:ind w:left="4140" w:hanging="420"/>
      </w:pPr>
    </w:lvl>
  </w:abstractNum>
  <w:abstractNum w:abstractNumId="18" w15:restartNumberingAfterBreak="0">
    <w:nsid w:val="31013F0C"/>
    <w:multiLevelType w:val="hybridMultilevel"/>
    <w:tmpl w:val="9FD4F99C"/>
    <w:lvl w:ilvl="0" w:tplc="51F0FC32">
      <w:start w:val="1"/>
      <w:numFmt w:val="decimalEnclosedCircle"/>
      <w:lvlText w:val="%1"/>
      <w:lvlJc w:val="left"/>
      <w:pPr>
        <w:tabs>
          <w:tab w:val="num" w:pos="360"/>
        </w:tabs>
        <w:ind w:left="360" w:hanging="360"/>
      </w:pPr>
      <w:rPr>
        <w:rFonts w:hint="eastAsia"/>
      </w:rPr>
    </w:lvl>
    <w:lvl w:ilvl="1" w:tplc="9872F332" w:tentative="1">
      <w:start w:val="1"/>
      <w:numFmt w:val="aiueoFullWidth"/>
      <w:lvlText w:val="(%2)"/>
      <w:lvlJc w:val="left"/>
      <w:pPr>
        <w:tabs>
          <w:tab w:val="num" w:pos="840"/>
        </w:tabs>
        <w:ind w:left="840" w:hanging="420"/>
      </w:pPr>
    </w:lvl>
    <w:lvl w:ilvl="2" w:tplc="67F8F67E" w:tentative="1">
      <w:start w:val="1"/>
      <w:numFmt w:val="decimalEnclosedCircle"/>
      <w:lvlText w:val="%3"/>
      <w:lvlJc w:val="left"/>
      <w:pPr>
        <w:tabs>
          <w:tab w:val="num" w:pos="1260"/>
        </w:tabs>
        <w:ind w:left="1260" w:hanging="420"/>
      </w:pPr>
    </w:lvl>
    <w:lvl w:ilvl="3" w:tplc="D6F61B54" w:tentative="1">
      <w:start w:val="1"/>
      <w:numFmt w:val="decimal"/>
      <w:lvlText w:val="%4."/>
      <w:lvlJc w:val="left"/>
      <w:pPr>
        <w:tabs>
          <w:tab w:val="num" w:pos="1680"/>
        </w:tabs>
        <w:ind w:left="1680" w:hanging="420"/>
      </w:pPr>
    </w:lvl>
    <w:lvl w:ilvl="4" w:tplc="CC2EA6E2" w:tentative="1">
      <w:start w:val="1"/>
      <w:numFmt w:val="aiueoFullWidth"/>
      <w:lvlText w:val="(%5)"/>
      <w:lvlJc w:val="left"/>
      <w:pPr>
        <w:tabs>
          <w:tab w:val="num" w:pos="2100"/>
        </w:tabs>
        <w:ind w:left="2100" w:hanging="420"/>
      </w:pPr>
    </w:lvl>
    <w:lvl w:ilvl="5" w:tplc="C64C012E" w:tentative="1">
      <w:start w:val="1"/>
      <w:numFmt w:val="decimalEnclosedCircle"/>
      <w:lvlText w:val="%6"/>
      <w:lvlJc w:val="left"/>
      <w:pPr>
        <w:tabs>
          <w:tab w:val="num" w:pos="2520"/>
        </w:tabs>
        <w:ind w:left="2520" w:hanging="420"/>
      </w:pPr>
    </w:lvl>
    <w:lvl w:ilvl="6" w:tplc="857EAE4A" w:tentative="1">
      <w:start w:val="1"/>
      <w:numFmt w:val="decimal"/>
      <w:lvlText w:val="%7."/>
      <w:lvlJc w:val="left"/>
      <w:pPr>
        <w:tabs>
          <w:tab w:val="num" w:pos="2940"/>
        </w:tabs>
        <w:ind w:left="2940" w:hanging="420"/>
      </w:pPr>
    </w:lvl>
    <w:lvl w:ilvl="7" w:tplc="E948F2F6" w:tentative="1">
      <w:start w:val="1"/>
      <w:numFmt w:val="aiueoFullWidth"/>
      <w:lvlText w:val="(%8)"/>
      <w:lvlJc w:val="left"/>
      <w:pPr>
        <w:tabs>
          <w:tab w:val="num" w:pos="3360"/>
        </w:tabs>
        <w:ind w:left="3360" w:hanging="420"/>
      </w:pPr>
    </w:lvl>
    <w:lvl w:ilvl="8" w:tplc="881ACFE2" w:tentative="1">
      <w:start w:val="1"/>
      <w:numFmt w:val="decimalEnclosedCircle"/>
      <w:lvlText w:val="%9"/>
      <w:lvlJc w:val="left"/>
      <w:pPr>
        <w:tabs>
          <w:tab w:val="num" w:pos="3780"/>
        </w:tabs>
        <w:ind w:left="3780" w:hanging="420"/>
      </w:pPr>
    </w:lvl>
  </w:abstractNum>
  <w:abstractNum w:abstractNumId="19" w15:restartNumberingAfterBreak="0">
    <w:nsid w:val="48355217"/>
    <w:multiLevelType w:val="hybridMultilevel"/>
    <w:tmpl w:val="96A23CB4"/>
    <w:lvl w:ilvl="0" w:tplc="A686DBC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8D42744"/>
    <w:multiLevelType w:val="hybridMultilevel"/>
    <w:tmpl w:val="12E64230"/>
    <w:lvl w:ilvl="0" w:tplc="835E1CF4">
      <w:numFmt w:val="none"/>
      <w:lvlText w:val=""/>
      <w:lvlJc w:val="left"/>
      <w:pPr>
        <w:tabs>
          <w:tab w:val="num" w:pos="360"/>
        </w:tabs>
      </w:pPr>
    </w:lvl>
    <w:lvl w:ilvl="1" w:tplc="09F8D634" w:tentative="1">
      <w:start w:val="1"/>
      <w:numFmt w:val="aiueoFullWidth"/>
      <w:lvlText w:val="(%2)"/>
      <w:lvlJc w:val="left"/>
      <w:pPr>
        <w:ind w:left="840" w:hanging="420"/>
      </w:pPr>
    </w:lvl>
    <w:lvl w:ilvl="2" w:tplc="322AC676" w:tentative="1">
      <w:start w:val="1"/>
      <w:numFmt w:val="decimalEnclosedCircle"/>
      <w:lvlText w:val="%3"/>
      <w:lvlJc w:val="left"/>
      <w:pPr>
        <w:ind w:left="1260" w:hanging="420"/>
      </w:pPr>
    </w:lvl>
    <w:lvl w:ilvl="3" w:tplc="467C624E" w:tentative="1">
      <w:start w:val="1"/>
      <w:numFmt w:val="decimal"/>
      <w:lvlText w:val="%4."/>
      <w:lvlJc w:val="left"/>
      <w:pPr>
        <w:ind w:left="1680" w:hanging="420"/>
      </w:pPr>
    </w:lvl>
    <w:lvl w:ilvl="4" w:tplc="B99AF4B0" w:tentative="1">
      <w:start w:val="1"/>
      <w:numFmt w:val="aiueoFullWidth"/>
      <w:lvlText w:val="(%5)"/>
      <w:lvlJc w:val="left"/>
      <w:pPr>
        <w:ind w:left="2100" w:hanging="420"/>
      </w:pPr>
    </w:lvl>
    <w:lvl w:ilvl="5" w:tplc="98AEC9E8" w:tentative="1">
      <w:start w:val="1"/>
      <w:numFmt w:val="decimalEnclosedCircle"/>
      <w:lvlText w:val="%6"/>
      <w:lvlJc w:val="left"/>
      <w:pPr>
        <w:ind w:left="2520" w:hanging="420"/>
      </w:pPr>
    </w:lvl>
    <w:lvl w:ilvl="6" w:tplc="6AA25EFA" w:tentative="1">
      <w:start w:val="1"/>
      <w:numFmt w:val="decimal"/>
      <w:lvlText w:val="%7."/>
      <w:lvlJc w:val="left"/>
      <w:pPr>
        <w:ind w:left="2940" w:hanging="420"/>
      </w:pPr>
    </w:lvl>
    <w:lvl w:ilvl="7" w:tplc="02082A44" w:tentative="1">
      <w:start w:val="1"/>
      <w:numFmt w:val="aiueoFullWidth"/>
      <w:lvlText w:val="(%8)"/>
      <w:lvlJc w:val="left"/>
      <w:pPr>
        <w:ind w:left="3360" w:hanging="420"/>
      </w:pPr>
    </w:lvl>
    <w:lvl w:ilvl="8" w:tplc="FB1888D4" w:tentative="1">
      <w:start w:val="1"/>
      <w:numFmt w:val="decimalEnclosedCircle"/>
      <w:lvlText w:val="%9"/>
      <w:lvlJc w:val="left"/>
      <w:pPr>
        <w:ind w:left="3780" w:hanging="420"/>
      </w:pPr>
    </w:lvl>
  </w:abstractNum>
  <w:abstractNum w:abstractNumId="21" w15:restartNumberingAfterBreak="0">
    <w:nsid w:val="4BE966BD"/>
    <w:multiLevelType w:val="hybridMultilevel"/>
    <w:tmpl w:val="DABAC0AA"/>
    <w:lvl w:ilvl="0" w:tplc="1B1AF952">
      <w:numFmt w:val="bullet"/>
      <w:lvlText w:val="・"/>
      <w:lvlJc w:val="left"/>
      <w:pPr>
        <w:tabs>
          <w:tab w:val="num" w:pos="360"/>
        </w:tabs>
        <w:ind w:left="360" w:hanging="360"/>
      </w:pPr>
      <w:rPr>
        <w:rFonts w:ascii="ＭＳ 明朝" w:eastAsia="ＭＳ 明朝" w:hAnsi="ＭＳ 明朝" w:cs="Times New Roman" w:hint="eastAsia"/>
      </w:rPr>
    </w:lvl>
    <w:lvl w:ilvl="1" w:tplc="4DC844FE" w:tentative="1">
      <w:start w:val="1"/>
      <w:numFmt w:val="bullet"/>
      <w:lvlText w:val=""/>
      <w:lvlJc w:val="left"/>
      <w:pPr>
        <w:tabs>
          <w:tab w:val="num" w:pos="840"/>
        </w:tabs>
        <w:ind w:left="840" w:hanging="420"/>
      </w:pPr>
      <w:rPr>
        <w:rFonts w:ascii="Wingdings" w:hAnsi="Wingdings" w:hint="default"/>
      </w:rPr>
    </w:lvl>
    <w:lvl w:ilvl="2" w:tplc="13C0123A" w:tentative="1">
      <w:start w:val="1"/>
      <w:numFmt w:val="bullet"/>
      <w:lvlText w:val=""/>
      <w:lvlJc w:val="left"/>
      <w:pPr>
        <w:tabs>
          <w:tab w:val="num" w:pos="1260"/>
        </w:tabs>
        <w:ind w:left="1260" w:hanging="420"/>
      </w:pPr>
      <w:rPr>
        <w:rFonts w:ascii="Wingdings" w:hAnsi="Wingdings" w:hint="default"/>
      </w:rPr>
    </w:lvl>
    <w:lvl w:ilvl="3" w:tplc="8F08CF80" w:tentative="1">
      <w:start w:val="1"/>
      <w:numFmt w:val="bullet"/>
      <w:lvlText w:val=""/>
      <w:lvlJc w:val="left"/>
      <w:pPr>
        <w:tabs>
          <w:tab w:val="num" w:pos="1680"/>
        </w:tabs>
        <w:ind w:left="1680" w:hanging="420"/>
      </w:pPr>
      <w:rPr>
        <w:rFonts w:ascii="Wingdings" w:hAnsi="Wingdings" w:hint="default"/>
      </w:rPr>
    </w:lvl>
    <w:lvl w:ilvl="4" w:tplc="DB8AE224" w:tentative="1">
      <w:start w:val="1"/>
      <w:numFmt w:val="bullet"/>
      <w:lvlText w:val=""/>
      <w:lvlJc w:val="left"/>
      <w:pPr>
        <w:tabs>
          <w:tab w:val="num" w:pos="2100"/>
        </w:tabs>
        <w:ind w:left="2100" w:hanging="420"/>
      </w:pPr>
      <w:rPr>
        <w:rFonts w:ascii="Wingdings" w:hAnsi="Wingdings" w:hint="default"/>
      </w:rPr>
    </w:lvl>
    <w:lvl w:ilvl="5" w:tplc="14207F16" w:tentative="1">
      <w:start w:val="1"/>
      <w:numFmt w:val="bullet"/>
      <w:lvlText w:val=""/>
      <w:lvlJc w:val="left"/>
      <w:pPr>
        <w:tabs>
          <w:tab w:val="num" w:pos="2520"/>
        </w:tabs>
        <w:ind w:left="2520" w:hanging="420"/>
      </w:pPr>
      <w:rPr>
        <w:rFonts w:ascii="Wingdings" w:hAnsi="Wingdings" w:hint="default"/>
      </w:rPr>
    </w:lvl>
    <w:lvl w:ilvl="6" w:tplc="08F4DD72" w:tentative="1">
      <w:start w:val="1"/>
      <w:numFmt w:val="bullet"/>
      <w:lvlText w:val=""/>
      <w:lvlJc w:val="left"/>
      <w:pPr>
        <w:tabs>
          <w:tab w:val="num" w:pos="2940"/>
        </w:tabs>
        <w:ind w:left="2940" w:hanging="420"/>
      </w:pPr>
      <w:rPr>
        <w:rFonts w:ascii="Wingdings" w:hAnsi="Wingdings" w:hint="default"/>
      </w:rPr>
    </w:lvl>
    <w:lvl w:ilvl="7" w:tplc="E26254F2" w:tentative="1">
      <w:start w:val="1"/>
      <w:numFmt w:val="bullet"/>
      <w:lvlText w:val=""/>
      <w:lvlJc w:val="left"/>
      <w:pPr>
        <w:tabs>
          <w:tab w:val="num" w:pos="3360"/>
        </w:tabs>
        <w:ind w:left="3360" w:hanging="420"/>
      </w:pPr>
      <w:rPr>
        <w:rFonts w:ascii="Wingdings" w:hAnsi="Wingdings" w:hint="default"/>
      </w:rPr>
    </w:lvl>
    <w:lvl w:ilvl="8" w:tplc="2A2059A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CA12FF"/>
    <w:multiLevelType w:val="hybridMultilevel"/>
    <w:tmpl w:val="67CA118A"/>
    <w:lvl w:ilvl="0" w:tplc="A99C53B8">
      <w:start w:val="1"/>
      <w:numFmt w:val="bullet"/>
      <w:lvlText w:val="□"/>
      <w:lvlJc w:val="left"/>
      <w:pPr>
        <w:tabs>
          <w:tab w:val="num" w:pos="420"/>
        </w:tabs>
        <w:ind w:left="420" w:hanging="420"/>
      </w:pPr>
      <w:rPr>
        <w:rFonts w:ascii="Times New Roman" w:eastAsia="ＭＳ ゴシック" w:hAnsi="Times New Roman" w:cs="Times New Roman" w:hint="default"/>
      </w:rPr>
    </w:lvl>
    <w:lvl w:ilvl="1" w:tplc="237EF8FC" w:tentative="1">
      <w:start w:val="1"/>
      <w:numFmt w:val="bullet"/>
      <w:lvlText w:val=""/>
      <w:lvlJc w:val="left"/>
      <w:pPr>
        <w:tabs>
          <w:tab w:val="num" w:pos="840"/>
        </w:tabs>
        <w:ind w:left="840" w:hanging="420"/>
      </w:pPr>
      <w:rPr>
        <w:rFonts w:ascii="Wingdings" w:hAnsi="Wingdings" w:hint="default"/>
      </w:rPr>
    </w:lvl>
    <w:lvl w:ilvl="2" w:tplc="7542CB94" w:tentative="1">
      <w:start w:val="1"/>
      <w:numFmt w:val="bullet"/>
      <w:lvlText w:val=""/>
      <w:lvlJc w:val="left"/>
      <w:pPr>
        <w:tabs>
          <w:tab w:val="num" w:pos="1260"/>
        </w:tabs>
        <w:ind w:left="1260" w:hanging="420"/>
      </w:pPr>
      <w:rPr>
        <w:rFonts w:ascii="Wingdings" w:hAnsi="Wingdings" w:hint="default"/>
      </w:rPr>
    </w:lvl>
    <w:lvl w:ilvl="3" w:tplc="9C363F16" w:tentative="1">
      <w:start w:val="1"/>
      <w:numFmt w:val="bullet"/>
      <w:lvlText w:val=""/>
      <w:lvlJc w:val="left"/>
      <w:pPr>
        <w:tabs>
          <w:tab w:val="num" w:pos="1680"/>
        </w:tabs>
        <w:ind w:left="1680" w:hanging="420"/>
      </w:pPr>
      <w:rPr>
        <w:rFonts w:ascii="Wingdings" w:hAnsi="Wingdings" w:hint="default"/>
      </w:rPr>
    </w:lvl>
    <w:lvl w:ilvl="4" w:tplc="8CD68BE4" w:tentative="1">
      <w:start w:val="1"/>
      <w:numFmt w:val="bullet"/>
      <w:lvlText w:val=""/>
      <w:lvlJc w:val="left"/>
      <w:pPr>
        <w:tabs>
          <w:tab w:val="num" w:pos="2100"/>
        </w:tabs>
        <w:ind w:left="2100" w:hanging="420"/>
      </w:pPr>
      <w:rPr>
        <w:rFonts w:ascii="Wingdings" w:hAnsi="Wingdings" w:hint="default"/>
      </w:rPr>
    </w:lvl>
    <w:lvl w:ilvl="5" w:tplc="53B23FB2" w:tentative="1">
      <w:start w:val="1"/>
      <w:numFmt w:val="bullet"/>
      <w:lvlText w:val=""/>
      <w:lvlJc w:val="left"/>
      <w:pPr>
        <w:tabs>
          <w:tab w:val="num" w:pos="2520"/>
        </w:tabs>
        <w:ind w:left="2520" w:hanging="420"/>
      </w:pPr>
      <w:rPr>
        <w:rFonts w:ascii="Wingdings" w:hAnsi="Wingdings" w:hint="default"/>
      </w:rPr>
    </w:lvl>
    <w:lvl w:ilvl="6" w:tplc="FD761F9C" w:tentative="1">
      <w:start w:val="1"/>
      <w:numFmt w:val="bullet"/>
      <w:lvlText w:val=""/>
      <w:lvlJc w:val="left"/>
      <w:pPr>
        <w:tabs>
          <w:tab w:val="num" w:pos="2940"/>
        </w:tabs>
        <w:ind w:left="2940" w:hanging="420"/>
      </w:pPr>
      <w:rPr>
        <w:rFonts w:ascii="Wingdings" w:hAnsi="Wingdings" w:hint="default"/>
      </w:rPr>
    </w:lvl>
    <w:lvl w:ilvl="7" w:tplc="28D82AA2" w:tentative="1">
      <w:start w:val="1"/>
      <w:numFmt w:val="bullet"/>
      <w:lvlText w:val=""/>
      <w:lvlJc w:val="left"/>
      <w:pPr>
        <w:tabs>
          <w:tab w:val="num" w:pos="3360"/>
        </w:tabs>
        <w:ind w:left="3360" w:hanging="420"/>
      </w:pPr>
      <w:rPr>
        <w:rFonts w:ascii="Wingdings" w:hAnsi="Wingdings" w:hint="default"/>
      </w:rPr>
    </w:lvl>
    <w:lvl w:ilvl="8" w:tplc="0B82C184"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5670F4"/>
    <w:multiLevelType w:val="hybridMultilevel"/>
    <w:tmpl w:val="16F8827C"/>
    <w:lvl w:ilvl="0" w:tplc="015EB0C6">
      <w:numFmt w:val="bullet"/>
      <w:lvlText w:val="□"/>
      <w:lvlJc w:val="left"/>
      <w:pPr>
        <w:ind w:left="360" w:hanging="360"/>
      </w:pPr>
      <w:rPr>
        <w:rFonts w:ascii="ＭＳ ゴシック" w:eastAsia="ＭＳ ゴシック" w:hAnsi="ＭＳ ゴシック" w:cs="Times New Roman" w:hint="eastAsia"/>
      </w:rPr>
    </w:lvl>
    <w:lvl w:ilvl="1" w:tplc="28689034" w:tentative="1">
      <w:start w:val="1"/>
      <w:numFmt w:val="bullet"/>
      <w:lvlText w:val=""/>
      <w:lvlJc w:val="left"/>
      <w:pPr>
        <w:ind w:left="840" w:hanging="420"/>
      </w:pPr>
      <w:rPr>
        <w:rFonts w:ascii="Wingdings" w:hAnsi="Wingdings" w:hint="default"/>
      </w:rPr>
    </w:lvl>
    <w:lvl w:ilvl="2" w:tplc="7CD45AE0" w:tentative="1">
      <w:start w:val="1"/>
      <w:numFmt w:val="bullet"/>
      <w:lvlText w:val=""/>
      <w:lvlJc w:val="left"/>
      <w:pPr>
        <w:ind w:left="1260" w:hanging="420"/>
      </w:pPr>
      <w:rPr>
        <w:rFonts w:ascii="Wingdings" w:hAnsi="Wingdings" w:hint="default"/>
      </w:rPr>
    </w:lvl>
    <w:lvl w:ilvl="3" w:tplc="D324CE2E" w:tentative="1">
      <w:start w:val="1"/>
      <w:numFmt w:val="bullet"/>
      <w:lvlText w:val=""/>
      <w:lvlJc w:val="left"/>
      <w:pPr>
        <w:ind w:left="1680" w:hanging="420"/>
      </w:pPr>
      <w:rPr>
        <w:rFonts w:ascii="Wingdings" w:hAnsi="Wingdings" w:hint="default"/>
      </w:rPr>
    </w:lvl>
    <w:lvl w:ilvl="4" w:tplc="3ADC654E" w:tentative="1">
      <w:start w:val="1"/>
      <w:numFmt w:val="bullet"/>
      <w:lvlText w:val=""/>
      <w:lvlJc w:val="left"/>
      <w:pPr>
        <w:ind w:left="2100" w:hanging="420"/>
      </w:pPr>
      <w:rPr>
        <w:rFonts w:ascii="Wingdings" w:hAnsi="Wingdings" w:hint="default"/>
      </w:rPr>
    </w:lvl>
    <w:lvl w:ilvl="5" w:tplc="FA702232" w:tentative="1">
      <w:start w:val="1"/>
      <w:numFmt w:val="bullet"/>
      <w:lvlText w:val=""/>
      <w:lvlJc w:val="left"/>
      <w:pPr>
        <w:ind w:left="2520" w:hanging="420"/>
      </w:pPr>
      <w:rPr>
        <w:rFonts w:ascii="Wingdings" w:hAnsi="Wingdings" w:hint="default"/>
      </w:rPr>
    </w:lvl>
    <w:lvl w:ilvl="6" w:tplc="1F10F13A" w:tentative="1">
      <w:start w:val="1"/>
      <w:numFmt w:val="bullet"/>
      <w:lvlText w:val=""/>
      <w:lvlJc w:val="left"/>
      <w:pPr>
        <w:ind w:left="2940" w:hanging="420"/>
      </w:pPr>
      <w:rPr>
        <w:rFonts w:ascii="Wingdings" w:hAnsi="Wingdings" w:hint="default"/>
      </w:rPr>
    </w:lvl>
    <w:lvl w:ilvl="7" w:tplc="D8BC39B8" w:tentative="1">
      <w:start w:val="1"/>
      <w:numFmt w:val="bullet"/>
      <w:lvlText w:val=""/>
      <w:lvlJc w:val="left"/>
      <w:pPr>
        <w:ind w:left="3360" w:hanging="420"/>
      </w:pPr>
      <w:rPr>
        <w:rFonts w:ascii="Wingdings" w:hAnsi="Wingdings" w:hint="default"/>
      </w:rPr>
    </w:lvl>
    <w:lvl w:ilvl="8" w:tplc="DA8CA8DA" w:tentative="1">
      <w:start w:val="1"/>
      <w:numFmt w:val="bullet"/>
      <w:lvlText w:val=""/>
      <w:lvlJc w:val="left"/>
      <w:pPr>
        <w:ind w:left="3780" w:hanging="420"/>
      </w:pPr>
      <w:rPr>
        <w:rFonts w:ascii="Wingdings" w:hAnsi="Wingdings" w:hint="default"/>
      </w:rPr>
    </w:lvl>
  </w:abstractNum>
  <w:abstractNum w:abstractNumId="24" w15:restartNumberingAfterBreak="0">
    <w:nsid w:val="59991C42"/>
    <w:multiLevelType w:val="hybridMultilevel"/>
    <w:tmpl w:val="E11464F6"/>
    <w:lvl w:ilvl="0" w:tplc="7B40B92A">
      <w:numFmt w:val="bullet"/>
      <w:lvlText w:val="※"/>
      <w:lvlJc w:val="left"/>
      <w:pPr>
        <w:ind w:left="360" w:hanging="360"/>
      </w:pPr>
      <w:rPr>
        <w:rFonts w:ascii="ＭＳ ゴシック" w:eastAsia="ＭＳ ゴシック" w:hAnsi="ＭＳ ゴシック" w:cs="Times New Roman" w:hint="eastAsia"/>
      </w:rPr>
    </w:lvl>
    <w:lvl w:ilvl="1" w:tplc="373A0408" w:tentative="1">
      <w:start w:val="1"/>
      <w:numFmt w:val="bullet"/>
      <w:lvlText w:val=""/>
      <w:lvlJc w:val="left"/>
      <w:pPr>
        <w:ind w:left="840" w:hanging="420"/>
      </w:pPr>
      <w:rPr>
        <w:rFonts w:ascii="Wingdings" w:hAnsi="Wingdings" w:hint="default"/>
      </w:rPr>
    </w:lvl>
    <w:lvl w:ilvl="2" w:tplc="07D85DBE" w:tentative="1">
      <w:start w:val="1"/>
      <w:numFmt w:val="bullet"/>
      <w:lvlText w:val=""/>
      <w:lvlJc w:val="left"/>
      <w:pPr>
        <w:ind w:left="1260" w:hanging="420"/>
      </w:pPr>
      <w:rPr>
        <w:rFonts w:ascii="Wingdings" w:hAnsi="Wingdings" w:hint="default"/>
      </w:rPr>
    </w:lvl>
    <w:lvl w:ilvl="3" w:tplc="DE4CA416" w:tentative="1">
      <w:start w:val="1"/>
      <w:numFmt w:val="bullet"/>
      <w:lvlText w:val=""/>
      <w:lvlJc w:val="left"/>
      <w:pPr>
        <w:ind w:left="1680" w:hanging="420"/>
      </w:pPr>
      <w:rPr>
        <w:rFonts w:ascii="Wingdings" w:hAnsi="Wingdings" w:hint="default"/>
      </w:rPr>
    </w:lvl>
    <w:lvl w:ilvl="4" w:tplc="8D48AEBE" w:tentative="1">
      <w:start w:val="1"/>
      <w:numFmt w:val="bullet"/>
      <w:lvlText w:val=""/>
      <w:lvlJc w:val="left"/>
      <w:pPr>
        <w:ind w:left="2100" w:hanging="420"/>
      </w:pPr>
      <w:rPr>
        <w:rFonts w:ascii="Wingdings" w:hAnsi="Wingdings" w:hint="default"/>
      </w:rPr>
    </w:lvl>
    <w:lvl w:ilvl="5" w:tplc="19B49414" w:tentative="1">
      <w:start w:val="1"/>
      <w:numFmt w:val="bullet"/>
      <w:lvlText w:val=""/>
      <w:lvlJc w:val="left"/>
      <w:pPr>
        <w:ind w:left="2520" w:hanging="420"/>
      </w:pPr>
      <w:rPr>
        <w:rFonts w:ascii="Wingdings" w:hAnsi="Wingdings" w:hint="default"/>
      </w:rPr>
    </w:lvl>
    <w:lvl w:ilvl="6" w:tplc="4F98F048" w:tentative="1">
      <w:start w:val="1"/>
      <w:numFmt w:val="bullet"/>
      <w:lvlText w:val=""/>
      <w:lvlJc w:val="left"/>
      <w:pPr>
        <w:ind w:left="2940" w:hanging="420"/>
      </w:pPr>
      <w:rPr>
        <w:rFonts w:ascii="Wingdings" w:hAnsi="Wingdings" w:hint="default"/>
      </w:rPr>
    </w:lvl>
    <w:lvl w:ilvl="7" w:tplc="98DE0BD0" w:tentative="1">
      <w:start w:val="1"/>
      <w:numFmt w:val="bullet"/>
      <w:lvlText w:val=""/>
      <w:lvlJc w:val="left"/>
      <w:pPr>
        <w:ind w:left="3360" w:hanging="420"/>
      </w:pPr>
      <w:rPr>
        <w:rFonts w:ascii="Wingdings" w:hAnsi="Wingdings" w:hint="default"/>
      </w:rPr>
    </w:lvl>
    <w:lvl w:ilvl="8" w:tplc="7652ACD4" w:tentative="1">
      <w:start w:val="1"/>
      <w:numFmt w:val="bullet"/>
      <w:lvlText w:val=""/>
      <w:lvlJc w:val="left"/>
      <w:pPr>
        <w:ind w:left="3780" w:hanging="420"/>
      </w:pPr>
      <w:rPr>
        <w:rFonts w:ascii="Wingdings" w:hAnsi="Wingdings" w:hint="default"/>
      </w:rPr>
    </w:lvl>
  </w:abstractNum>
  <w:abstractNum w:abstractNumId="25" w15:restartNumberingAfterBreak="0">
    <w:nsid w:val="5D1A0AC0"/>
    <w:multiLevelType w:val="hybridMultilevel"/>
    <w:tmpl w:val="2D4885C4"/>
    <w:lvl w:ilvl="0" w:tplc="5C44FFEC">
      <w:numFmt w:val="bullet"/>
      <w:lvlText w:val="・"/>
      <w:lvlJc w:val="left"/>
      <w:pPr>
        <w:tabs>
          <w:tab w:val="num" w:pos="360"/>
        </w:tabs>
        <w:ind w:left="360" w:hanging="360"/>
      </w:pPr>
      <w:rPr>
        <w:rFonts w:ascii="ＭＳ 明朝" w:eastAsia="ＭＳ 明朝" w:hAnsi="ＭＳ 明朝" w:cs="Times New Roman" w:hint="eastAsia"/>
      </w:rPr>
    </w:lvl>
    <w:lvl w:ilvl="1" w:tplc="9364CBE4" w:tentative="1">
      <w:start w:val="1"/>
      <w:numFmt w:val="bullet"/>
      <w:lvlText w:val=""/>
      <w:lvlJc w:val="left"/>
      <w:pPr>
        <w:tabs>
          <w:tab w:val="num" w:pos="840"/>
        </w:tabs>
        <w:ind w:left="840" w:hanging="420"/>
      </w:pPr>
      <w:rPr>
        <w:rFonts w:ascii="Wingdings" w:hAnsi="Wingdings" w:hint="default"/>
      </w:rPr>
    </w:lvl>
    <w:lvl w:ilvl="2" w:tplc="6B949F7C" w:tentative="1">
      <w:start w:val="1"/>
      <w:numFmt w:val="bullet"/>
      <w:lvlText w:val=""/>
      <w:lvlJc w:val="left"/>
      <w:pPr>
        <w:tabs>
          <w:tab w:val="num" w:pos="1260"/>
        </w:tabs>
        <w:ind w:left="1260" w:hanging="420"/>
      </w:pPr>
      <w:rPr>
        <w:rFonts w:ascii="Wingdings" w:hAnsi="Wingdings" w:hint="default"/>
      </w:rPr>
    </w:lvl>
    <w:lvl w:ilvl="3" w:tplc="CEB6D764" w:tentative="1">
      <w:start w:val="1"/>
      <w:numFmt w:val="bullet"/>
      <w:lvlText w:val=""/>
      <w:lvlJc w:val="left"/>
      <w:pPr>
        <w:tabs>
          <w:tab w:val="num" w:pos="1680"/>
        </w:tabs>
        <w:ind w:left="1680" w:hanging="420"/>
      </w:pPr>
      <w:rPr>
        <w:rFonts w:ascii="Wingdings" w:hAnsi="Wingdings" w:hint="default"/>
      </w:rPr>
    </w:lvl>
    <w:lvl w:ilvl="4" w:tplc="8FECC446" w:tentative="1">
      <w:start w:val="1"/>
      <w:numFmt w:val="bullet"/>
      <w:lvlText w:val=""/>
      <w:lvlJc w:val="left"/>
      <w:pPr>
        <w:tabs>
          <w:tab w:val="num" w:pos="2100"/>
        </w:tabs>
        <w:ind w:left="2100" w:hanging="420"/>
      </w:pPr>
      <w:rPr>
        <w:rFonts w:ascii="Wingdings" w:hAnsi="Wingdings" w:hint="default"/>
      </w:rPr>
    </w:lvl>
    <w:lvl w:ilvl="5" w:tplc="2D5C70AC" w:tentative="1">
      <w:start w:val="1"/>
      <w:numFmt w:val="bullet"/>
      <w:lvlText w:val=""/>
      <w:lvlJc w:val="left"/>
      <w:pPr>
        <w:tabs>
          <w:tab w:val="num" w:pos="2520"/>
        </w:tabs>
        <w:ind w:left="2520" w:hanging="420"/>
      </w:pPr>
      <w:rPr>
        <w:rFonts w:ascii="Wingdings" w:hAnsi="Wingdings" w:hint="default"/>
      </w:rPr>
    </w:lvl>
    <w:lvl w:ilvl="6" w:tplc="0C5C8DE8" w:tentative="1">
      <w:start w:val="1"/>
      <w:numFmt w:val="bullet"/>
      <w:lvlText w:val=""/>
      <w:lvlJc w:val="left"/>
      <w:pPr>
        <w:tabs>
          <w:tab w:val="num" w:pos="2940"/>
        </w:tabs>
        <w:ind w:left="2940" w:hanging="420"/>
      </w:pPr>
      <w:rPr>
        <w:rFonts w:ascii="Wingdings" w:hAnsi="Wingdings" w:hint="default"/>
      </w:rPr>
    </w:lvl>
    <w:lvl w:ilvl="7" w:tplc="9D14A16E" w:tentative="1">
      <w:start w:val="1"/>
      <w:numFmt w:val="bullet"/>
      <w:lvlText w:val=""/>
      <w:lvlJc w:val="left"/>
      <w:pPr>
        <w:tabs>
          <w:tab w:val="num" w:pos="3360"/>
        </w:tabs>
        <w:ind w:left="3360" w:hanging="420"/>
      </w:pPr>
      <w:rPr>
        <w:rFonts w:ascii="Wingdings" w:hAnsi="Wingdings" w:hint="default"/>
      </w:rPr>
    </w:lvl>
    <w:lvl w:ilvl="8" w:tplc="7D36023A"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8C732D"/>
    <w:multiLevelType w:val="multilevel"/>
    <w:tmpl w:val="1DBABBAE"/>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732763EC"/>
    <w:multiLevelType w:val="multilevel"/>
    <w:tmpl w:val="04385304"/>
    <w:lvl w:ilvl="0">
      <w:start w:val="1"/>
      <w:numFmt w:val="decimalEnclosedCircle"/>
      <w:lvlText w:val="%1"/>
      <w:lvlJc w:val="left"/>
      <w:pPr>
        <w:tabs>
          <w:tab w:val="num" w:pos="360"/>
        </w:tabs>
        <w:ind w:left="360" w:hanging="360"/>
      </w:pPr>
      <w:rPr>
        <w:rFonts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25"/>
  </w:num>
  <w:num w:numId="3">
    <w:abstractNumId w:val="14"/>
  </w:num>
  <w:num w:numId="4">
    <w:abstractNumId w:val="13"/>
  </w:num>
  <w:num w:numId="5">
    <w:abstractNumId w:val="22"/>
  </w:num>
  <w:num w:numId="6">
    <w:abstractNumId w:val="16"/>
  </w:num>
  <w:num w:numId="7">
    <w:abstractNumId w:val="12"/>
  </w:num>
  <w:num w:numId="8">
    <w:abstractNumId w:val="11"/>
  </w:num>
  <w:num w:numId="9">
    <w:abstractNumId w:val="18"/>
  </w:num>
  <w:num w:numId="10">
    <w:abstractNumId w:val="27"/>
  </w:num>
  <w:num w:numId="11">
    <w:abstractNumId w:val="10"/>
  </w:num>
  <w:num w:numId="12">
    <w:abstractNumId w:val="2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4"/>
  </w:num>
  <w:num w:numId="25">
    <w:abstractNumId w:val="23"/>
  </w:num>
  <w:num w:numId="26">
    <w:abstractNumId w:val="17"/>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CE"/>
    <w:rsid w:val="00001B89"/>
    <w:rsid w:val="0000384D"/>
    <w:rsid w:val="000302FB"/>
    <w:rsid w:val="00034AA5"/>
    <w:rsid w:val="00055A56"/>
    <w:rsid w:val="000870CA"/>
    <w:rsid w:val="00092B38"/>
    <w:rsid w:val="00093C15"/>
    <w:rsid w:val="000961E9"/>
    <w:rsid w:val="000A6D7A"/>
    <w:rsid w:val="000B0B31"/>
    <w:rsid w:val="000B4276"/>
    <w:rsid w:val="000C1BFD"/>
    <w:rsid w:val="000C4CCF"/>
    <w:rsid w:val="000C5FCE"/>
    <w:rsid w:val="000D7342"/>
    <w:rsid w:val="000E36E2"/>
    <w:rsid w:val="000F386C"/>
    <w:rsid w:val="00130EEA"/>
    <w:rsid w:val="0014340D"/>
    <w:rsid w:val="00152636"/>
    <w:rsid w:val="001673C6"/>
    <w:rsid w:val="00184C95"/>
    <w:rsid w:val="001911A0"/>
    <w:rsid w:val="00194CF8"/>
    <w:rsid w:val="001A0E71"/>
    <w:rsid w:val="001B2C83"/>
    <w:rsid w:val="001B68A1"/>
    <w:rsid w:val="00215E67"/>
    <w:rsid w:val="00230522"/>
    <w:rsid w:val="0026608E"/>
    <w:rsid w:val="002A2418"/>
    <w:rsid w:val="002C046F"/>
    <w:rsid w:val="002E1622"/>
    <w:rsid w:val="002E2506"/>
    <w:rsid w:val="002E4413"/>
    <w:rsid w:val="002E7E5F"/>
    <w:rsid w:val="00322EB9"/>
    <w:rsid w:val="00325EBD"/>
    <w:rsid w:val="00343927"/>
    <w:rsid w:val="00384E9E"/>
    <w:rsid w:val="00386DF0"/>
    <w:rsid w:val="0039071D"/>
    <w:rsid w:val="00393F79"/>
    <w:rsid w:val="00396F4E"/>
    <w:rsid w:val="003A4133"/>
    <w:rsid w:val="003B2B6C"/>
    <w:rsid w:val="003C6EF8"/>
    <w:rsid w:val="004448E5"/>
    <w:rsid w:val="004512C8"/>
    <w:rsid w:val="00453B96"/>
    <w:rsid w:val="00474385"/>
    <w:rsid w:val="0049403A"/>
    <w:rsid w:val="004A0854"/>
    <w:rsid w:val="004E3172"/>
    <w:rsid w:val="004E7ED1"/>
    <w:rsid w:val="00502EDF"/>
    <w:rsid w:val="00506544"/>
    <w:rsid w:val="00571785"/>
    <w:rsid w:val="00593C1B"/>
    <w:rsid w:val="005B0102"/>
    <w:rsid w:val="005E129E"/>
    <w:rsid w:val="006103C3"/>
    <w:rsid w:val="00631D2C"/>
    <w:rsid w:val="00656579"/>
    <w:rsid w:val="00663B9E"/>
    <w:rsid w:val="006754D0"/>
    <w:rsid w:val="00676181"/>
    <w:rsid w:val="0067655A"/>
    <w:rsid w:val="00680352"/>
    <w:rsid w:val="006926D7"/>
    <w:rsid w:val="006A5578"/>
    <w:rsid w:val="006E2651"/>
    <w:rsid w:val="006E3FF9"/>
    <w:rsid w:val="006F0BF3"/>
    <w:rsid w:val="006F186D"/>
    <w:rsid w:val="006F7A0B"/>
    <w:rsid w:val="0071596E"/>
    <w:rsid w:val="007350B5"/>
    <w:rsid w:val="00776BC4"/>
    <w:rsid w:val="007C4440"/>
    <w:rsid w:val="007D37B0"/>
    <w:rsid w:val="008073F6"/>
    <w:rsid w:val="00810036"/>
    <w:rsid w:val="0084128D"/>
    <w:rsid w:val="0086379E"/>
    <w:rsid w:val="00881B6C"/>
    <w:rsid w:val="008B1782"/>
    <w:rsid w:val="008D2EDE"/>
    <w:rsid w:val="008F39A0"/>
    <w:rsid w:val="009107EC"/>
    <w:rsid w:val="00933436"/>
    <w:rsid w:val="00946CBB"/>
    <w:rsid w:val="00A0096D"/>
    <w:rsid w:val="00A110B1"/>
    <w:rsid w:val="00A155D9"/>
    <w:rsid w:val="00A2135E"/>
    <w:rsid w:val="00A40F0C"/>
    <w:rsid w:val="00A46C08"/>
    <w:rsid w:val="00A93766"/>
    <w:rsid w:val="00AB73B7"/>
    <w:rsid w:val="00AC6B4F"/>
    <w:rsid w:val="00AD4795"/>
    <w:rsid w:val="00B22887"/>
    <w:rsid w:val="00B3018A"/>
    <w:rsid w:val="00B900E2"/>
    <w:rsid w:val="00BA3BF6"/>
    <w:rsid w:val="00C03903"/>
    <w:rsid w:val="00C80F1D"/>
    <w:rsid w:val="00C870E3"/>
    <w:rsid w:val="00CB5752"/>
    <w:rsid w:val="00CC55F5"/>
    <w:rsid w:val="00CD2089"/>
    <w:rsid w:val="00CD3A22"/>
    <w:rsid w:val="00CE2184"/>
    <w:rsid w:val="00CF7F2A"/>
    <w:rsid w:val="00D148D2"/>
    <w:rsid w:val="00D320BF"/>
    <w:rsid w:val="00D35930"/>
    <w:rsid w:val="00D6660C"/>
    <w:rsid w:val="00D770E0"/>
    <w:rsid w:val="00D82932"/>
    <w:rsid w:val="00DA4CBF"/>
    <w:rsid w:val="00DC5E32"/>
    <w:rsid w:val="00DD36BC"/>
    <w:rsid w:val="00DD46A5"/>
    <w:rsid w:val="00DE6FAB"/>
    <w:rsid w:val="00E33C68"/>
    <w:rsid w:val="00E46B8C"/>
    <w:rsid w:val="00E96597"/>
    <w:rsid w:val="00ED0907"/>
    <w:rsid w:val="00ED3B42"/>
    <w:rsid w:val="00F1511F"/>
    <w:rsid w:val="00F34ADF"/>
    <w:rsid w:val="00F520B6"/>
    <w:rsid w:val="00F523AF"/>
    <w:rsid w:val="00F53F9A"/>
    <w:rsid w:val="00F71245"/>
    <w:rsid w:val="00F80D76"/>
    <w:rsid w:val="00F864CF"/>
    <w:rsid w:val="00F93AAB"/>
    <w:rsid w:val="00FB1358"/>
    <w:rsid w:val="00FC0EAB"/>
    <w:rsid w:val="00FC1E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07956F59"/>
  <w15:chartTrackingRefBased/>
  <w15:docId w15:val="{A51FADCF-C9CA-410E-9880-56D2E679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pPr>
      <w:tabs>
        <w:tab w:val="center" w:pos="4252"/>
        <w:tab w:val="right" w:pos="8504"/>
      </w:tabs>
      <w:snapToGrid w:val="0"/>
    </w:pPr>
  </w:style>
  <w:style w:type="paragraph" w:styleId="a8">
    <w:name w:val="footer"/>
    <w:basedOn w:val="a1"/>
    <w:link w:val="a9"/>
    <w:uiPriority w:val="99"/>
    <w:pPr>
      <w:tabs>
        <w:tab w:val="center" w:pos="4252"/>
        <w:tab w:val="right" w:pos="8504"/>
      </w:tabs>
      <w:snapToGrid w:val="0"/>
    </w:pPr>
  </w:style>
  <w:style w:type="character" w:styleId="aa">
    <w:name w:val="page number"/>
    <w:basedOn w:val="a3"/>
  </w:style>
  <w:style w:type="paragraph" w:styleId="ab">
    <w:name w:val="annotation text"/>
    <w:basedOn w:val="a1"/>
    <w:link w:val="ac"/>
    <w:semiHidden/>
    <w:pPr>
      <w:jc w:val="left"/>
    </w:pPr>
  </w:style>
  <w:style w:type="paragraph" w:styleId="ad">
    <w:name w:val="Block Text"/>
    <w:basedOn w:val="a1"/>
    <w:pPr>
      <w:ind w:left="1440" w:right="144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sz w:val="24"/>
    </w:rPr>
  </w:style>
  <w:style w:type="paragraph" w:styleId="af2">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3"/>
      </w:numPr>
    </w:pPr>
  </w:style>
  <w:style w:type="paragraph" w:styleId="20">
    <w:name w:val="List Bullet 2"/>
    <w:basedOn w:val="a1"/>
    <w:autoRedefine/>
    <w:pPr>
      <w:numPr>
        <w:numId w:val="14"/>
      </w:numPr>
    </w:pPr>
  </w:style>
  <w:style w:type="paragraph" w:styleId="30">
    <w:name w:val="List Bullet 3"/>
    <w:basedOn w:val="a1"/>
    <w:autoRedefine/>
    <w:pPr>
      <w:numPr>
        <w:numId w:val="15"/>
      </w:numPr>
    </w:pPr>
  </w:style>
  <w:style w:type="paragraph" w:styleId="40">
    <w:name w:val="List Bullet 4"/>
    <w:basedOn w:val="a1"/>
    <w:autoRedefine/>
    <w:pPr>
      <w:numPr>
        <w:numId w:val="16"/>
      </w:numPr>
    </w:pPr>
  </w:style>
  <w:style w:type="paragraph" w:styleId="50">
    <w:name w:val="List Bullet 5"/>
    <w:basedOn w:val="a1"/>
    <w:autoRedefine/>
    <w:pPr>
      <w:numPr>
        <w:numId w:val="17"/>
      </w:numPr>
    </w:pPr>
  </w:style>
  <w:style w:type="paragraph" w:styleId="af3">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12" w:hanging="12"/>
    </w:pPr>
    <w:rPr>
      <w:rFonts w:eastAsia="ＭＳ ゴシック"/>
    </w:r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18"/>
      </w:numPr>
    </w:pPr>
  </w:style>
  <w:style w:type="paragraph" w:styleId="2">
    <w:name w:val="List Number 2"/>
    <w:basedOn w:val="a1"/>
    <w:pPr>
      <w:numPr>
        <w:numId w:val="19"/>
      </w:numPr>
    </w:pPr>
  </w:style>
  <w:style w:type="paragraph" w:styleId="3">
    <w:name w:val="List Number 3"/>
    <w:basedOn w:val="a1"/>
    <w:pPr>
      <w:numPr>
        <w:numId w:val="20"/>
      </w:numPr>
    </w:pPr>
  </w:style>
  <w:style w:type="paragraph" w:styleId="4">
    <w:name w:val="List Number 4"/>
    <w:basedOn w:val="a1"/>
    <w:pPr>
      <w:numPr>
        <w:numId w:val="21"/>
      </w:numPr>
    </w:pPr>
  </w:style>
  <w:style w:type="paragraph" w:styleId="5">
    <w:name w:val="List Number 5"/>
    <w:basedOn w:val="a1"/>
    <w:pPr>
      <w:numPr>
        <w:numId w:val="22"/>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6">
    <w:name w:val="Body Text First Indent"/>
    <w:basedOn w:val="aff4"/>
    <w:pPr>
      <w:ind w:firstLine="210"/>
    </w:p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sid w:val="008B2DB7"/>
    <w:rPr>
      <w:rFonts w:ascii="Arial" w:eastAsia="ＭＳ ゴシック" w:hAnsi="Arial"/>
      <w:sz w:val="18"/>
      <w:szCs w:val="18"/>
    </w:rPr>
  </w:style>
  <w:style w:type="table" w:styleId="aff8">
    <w:name w:val="Table Grid"/>
    <w:basedOn w:val="a4"/>
    <w:rsid w:val="00BA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72239B"/>
    <w:rPr>
      <w:kern w:val="2"/>
      <w:sz w:val="21"/>
      <w:szCs w:val="24"/>
    </w:rPr>
  </w:style>
  <w:style w:type="character" w:customStyle="1" w:styleId="a7">
    <w:name w:val="ヘッダー (文字)"/>
    <w:link w:val="a6"/>
    <w:rsid w:val="00715A69"/>
    <w:rPr>
      <w:kern w:val="2"/>
      <w:sz w:val="21"/>
      <w:szCs w:val="24"/>
    </w:rPr>
  </w:style>
  <w:style w:type="character" w:customStyle="1" w:styleId="p20">
    <w:name w:val="p20"/>
    <w:basedOn w:val="a3"/>
    <w:rsid w:val="001B43E3"/>
  </w:style>
  <w:style w:type="character" w:styleId="aff9">
    <w:name w:val="annotation reference"/>
    <w:rsid w:val="00642AA5"/>
    <w:rPr>
      <w:sz w:val="18"/>
      <w:szCs w:val="18"/>
    </w:rPr>
  </w:style>
  <w:style w:type="paragraph" w:styleId="affa">
    <w:name w:val="annotation subject"/>
    <w:basedOn w:val="ab"/>
    <w:next w:val="ab"/>
    <w:link w:val="affb"/>
    <w:rsid w:val="00642AA5"/>
    <w:rPr>
      <w:b/>
      <w:bCs/>
    </w:rPr>
  </w:style>
  <w:style w:type="character" w:customStyle="1" w:styleId="ac">
    <w:name w:val="コメント文字列 (文字)"/>
    <w:link w:val="ab"/>
    <w:semiHidden/>
    <w:rsid w:val="00642AA5"/>
    <w:rPr>
      <w:kern w:val="2"/>
      <w:sz w:val="21"/>
      <w:szCs w:val="24"/>
    </w:rPr>
  </w:style>
  <w:style w:type="character" w:customStyle="1" w:styleId="affb">
    <w:name w:val="コメント内容 (文字)"/>
    <w:link w:val="affa"/>
    <w:rsid w:val="00642AA5"/>
    <w:rPr>
      <w:b/>
      <w:bCs/>
      <w:kern w:val="2"/>
      <w:sz w:val="21"/>
      <w:szCs w:val="24"/>
    </w:rPr>
  </w:style>
  <w:style w:type="paragraph" w:styleId="affc">
    <w:name w:val="List Paragraph"/>
    <w:basedOn w:val="a1"/>
    <w:uiPriority w:val="34"/>
    <w:qFormat/>
    <w:rsid w:val="00390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51884">
      <w:bodyDiv w:val="1"/>
      <w:marLeft w:val="0"/>
      <w:marRight w:val="0"/>
      <w:marTop w:val="0"/>
      <w:marBottom w:val="0"/>
      <w:divBdr>
        <w:top w:val="none" w:sz="0" w:space="0" w:color="auto"/>
        <w:left w:val="none" w:sz="0" w:space="0" w:color="auto"/>
        <w:bottom w:val="none" w:sz="0" w:space="0" w:color="auto"/>
        <w:right w:val="none" w:sz="0" w:space="0" w:color="auto"/>
      </w:divBdr>
      <w:divsChild>
        <w:div w:id="1327324982">
          <w:marLeft w:val="0"/>
          <w:marRight w:val="0"/>
          <w:marTop w:val="0"/>
          <w:marBottom w:val="0"/>
          <w:divBdr>
            <w:top w:val="none" w:sz="0" w:space="0" w:color="auto"/>
            <w:left w:val="none" w:sz="0" w:space="0" w:color="auto"/>
            <w:bottom w:val="none" w:sz="0" w:space="0" w:color="auto"/>
            <w:right w:val="none" w:sz="0" w:space="0" w:color="auto"/>
          </w:divBdr>
          <w:divsChild>
            <w:div w:id="1445418632">
              <w:marLeft w:val="0"/>
              <w:marRight w:val="0"/>
              <w:marTop w:val="0"/>
              <w:marBottom w:val="0"/>
              <w:divBdr>
                <w:top w:val="none" w:sz="0" w:space="0" w:color="auto"/>
                <w:left w:val="none" w:sz="0" w:space="0" w:color="auto"/>
                <w:bottom w:val="none" w:sz="0" w:space="0" w:color="auto"/>
                <w:right w:val="none" w:sz="0" w:space="0" w:color="auto"/>
              </w:divBdr>
              <w:divsChild>
                <w:div w:id="28259214">
                  <w:marLeft w:val="0"/>
                  <w:marRight w:val="0"/>
                  <w:marTop w:val="0"/>
                  <w:marBottom w:val="0"/>
                  <w:divBdr>
                    <w:top w:val="none" w:sz="0" w:space="0" w:color="auto"/>
                    <w:left w:val="none" w:sz="0" w:space="0" w:color="auto"/>
                    <w:bottom w:val="none" w:sz="0" w:space="0" w:color="auto"/>
                    <w:right w:val="none" w:sz="0" w:space="0" w:color="auto"/>
                  </w:divBdr>
                  <w:divsChild>
                    <w:div w:id="1867867913">
                      <w:marLeft w:val="1200"/>
                      <w:marRight w:val="0"/>
                      <w:marTop w:val="0"/>
                      <w:marBottom w:val="0"/>
                      <w:divBdr>
                        <w:top w:val="none" w:sz="0" w:space="0" w:color="auto"/>
                        <w:left w:val="none" w:sz="0" w:space="0" w:color="auto"/>
                        <w:bottom w:val="none" w:sz="0" w:space="0" w:color="auto"/>
                        <w:right w:val="none" w:sz="0" w:space="0" w:color="auto"/>
                      </w:divBdr>
                    </w:div>
                    <w:div w:id="14867033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56AE-FDE5-4B9E-8126-6D618DBC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15</Pages>
  <Words>23673</Words>
  <Characters>1788</Characters>
  <Application>Microsoft Office Word</Application>
  <DocSecurity>0</DocSecurity>
  <Lines>14</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0000012627 勝谷 篤</cp:lastModifiedBy>
  <cp:revision>50</cp:revision>
  <cp:lastPrinted>1899-12-31T15:00:00Z</cp:lastPrinted>
  <dcterms:created xsi:type="dcterms:W3CDTF">2021-11-12T03:55:00Z</dcterms:created>
  <dcterms:modified xsi:type="dcterms:W3CDTF">2024-07-29T00:17:00Z</dcterms:modified>
</cp:coreProperties>
</file>